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F2DC6" w14:textId="65595333" w:rsidR="00CA05B4" w:rsidRDefault="003146EC" w:rsidP="00CA05B4">
      <w:pPr>
        <w:pStyle w:val="Header"/>
        <w:jc w:val="center"/>
        <w:rPr>
          <w:b/>
        </w:rPr>
      </w:pPr>
      <w:r>
        <w:rPr>
          <w:b/>
        </w:rPr>
        <w:t xml:space="preserve">Policy - </w:t>
      </w:r>
      <w:r w:rsidR="00CA05B4" w:rsidRPr="00E25633">
        <w:rPr>
          <w:b/>
        </w:rPr>
        <w:t xml:space="preserve">Parents’ Association </w:t>
      </w:r>
      <w:r w:rsidR="00762EF4">
        <w:rPr>
          <w:b/>
        </w:rPr>
        <w:t>M</w:t>
      </w:r>
      <w:r w:rsidR="00CA05B4" w:rsidRPr="00E25633">
        <w:rPr>
          <w:b/>
        </w:rPr>
        <w:t>onies</w:t>
      </w:r>
    </w:p>
    <w:p w14:paraId="2ED9B481" w14:textId="70EE7EB2" w:rsidR="00253AFE" w:rsidRDefault="00253AFE" w:rsidP="00CA05B4">
      <w:pPr>
        <w:pStyle w:val="Header"/>
        <w:jc w:val="center"/>
        <w:rPr>
          <w:b/>
        </w:rPr>
      </w:pPr>
    </w:p>
    <w:p w14:paraId="087F5799" w14:textId="18502F79" w:rsidR="00253AFE" w:rsidRDefault="00253AFE" w:rsidP="00CA05B4">
      <w:pPr>
        <w:pStyle w:val="Header"/>
        <w:jc w:val="center"/>
        <w:rPr>
          <w:b/>
        </w:rPr>
      </w:pPr>
    </w:p>
    <w:tbl>
      <w:tblPr>
        <w:tblpPr w:leftFromText="180" w:rightFromText="180" w:vertAnchor="text" w:horzAnchor="page" w:tblpX="2178" w:tblpY="168"/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4732"/>
      </w:tblGrid>
      <w:tr w:rsidR="00253AFE" w:rsidRPr="008A7BAA" w14:paraId="2D93028F" w14:textId="77777777" w:rsidTr="007A2130">
        <w:tc>
          <w:tcPr>
            <w:tcW w:w="3570" w:type="dxa"/>
            <w:shd w:val="clear" w:color="auto" w:fill="auto"/>
          </w:tcPr>
          <w:p w14:paraId="65C8ECDE" w14:textId="77777777" w:rsidR="00253AFE" w:rsidRPr="008A7BAA" w:rsidRDefault="00253AFE" w:rsidP="007A2130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D52C896">
              <w:rPr>
                <w:rFonts w:ascii="Arial" w:eastAsia="Arial" w:hAnsi="Arial" w:cs="Arial"/>
                <w:sz w:val="20"/>
                <w:szCs w:val="20"/>
              </w:rPr>
              <w:t xml:space="preserve">Version number </w:t>
            </w:r>
          </w:p>
        </w:tc>
        <w:tc>
          <w:tcPr>
            <w:tcW w:w="4732" w:type="dxa"/>
            <w:shd w:val="clear" w:color="auto" w:fill="auto"/>
          </w:tcPr>
          <w:p w14:paraId="6833FD8D" w14:textId="77777777" w:rsidR="00253AFE" w:rsidRPr="008A7BAA" w:rsidRDefault="00253AFE" w:rsidP="007A2130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253AFE" w:rsidRPr="008A7BAA" w14:paraId="73BBB270" w14:textId="77777777" w:rsidTr="007A2130">
        <w:tc>
          <w:tcPr>
            <w:tcW w:w="3570" w:type="dxa"/>
            <w:shd w:val="clear" w:color="auto" w:fill="auto"/>
          </w:tcPr>
          <w:p w14:paraId="7BD5F6D8" w14:textId="77777777" w:rsidR="00253AFE" w:rsidRPr="008A7BAA" w:rsidRDefault="00253AFE" w:rsidP="007A2130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D52C896">
              <w:rPr>
                <w:rFonts w:ascii="Arial" w:eastAsia="Arial" w:hAnsi="Arial" w:cs="Arial"/>
                <w:sz w:val="20"/>
                <w:szCs w:val="20"/>
              </w:rPr>
              <w:t xml:space="preserve">Policy drafted by </w:t>
            </w:r>
          </w:p>
        </w:tc>
        <w:tc>
          <w:tcPr>
            <w:tcW w:w="4732" w:type="dxa"/>
            <w:shd w:val="clear" w:color="auto" w:fill="auto"/>
          </w:tcPr>
          <w:p w14:paraId="5A6BC6EF" w14:textId="0948CD79" w:rsidR="00253AFE" w:rsidRPr="008A7BAA" w:rsidRDefault="00253AFE" w:rsidP="007A2130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Finance</w:t>
            </w:r>
          </w:p>
        </w:tc>
      </w:tr>
      <w:tr w:rsidR="00CF26CC" w:rsidRPr="008A7BAA" w14:paraId="62CB8C6A" w14:textId="77777777" w:rsidTr="007A2130">
        <w:tc>
          <w:tcPr>
            <w:tcW w:w="3570" w:type="dxa"/>
            <w:shd w:val="clear" w:color="auto" w:fill="auto"/>
          </w:tcPr>
          <w:p w14:paraId="02B956F2" w14:textId="77777777" w:rsidR="00CF26CC" w:rsidRPr="008A7BAA" w:rsidRDefault="00CF26CC" w:rsidP="00CF26CC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 w:colFirst="1" w:colLast="1"/>
            <w:r w:rsidRPr="5D52C896">
              <w:rPr>
                <w:rFonts w:ascii="Arial" w:eastAsia="Arial" w:hAnsi="Arial" w:cs="Arial"/>
                <w:sz w:val="20"/>
                <w:szCs w:val="20"/>
              </w:rPr>
              <w:t xml:space="preserve">Approved by </w:t>
            </w:r>
            <w:r>
              <w:rPr>
                <w:rFonts w:ascii="Arial" w:eastAsia="Arial" w:hAnsi="Arial" w:cs="Arial"/>
                <w:sz w:val="20"/>
                <w:szCs w:val="20"/>
              </w:rPr>
              <w:t>Executive</w:t>
            </w:r>
            <w:r w:rsidRPr="5D52C896">
              <w:rPr>
                <w:rFonts w:ascii="Arial" w:eastAsia="Arial" w:hAnsi="Arial" w:cs="Arial"/>
                <w:sz w:val="20"/>
                <w:szCs w:val="20"/>
              </w:rPr>
              <w:t xml:space="preserve"> on</w:t>
            </w:r>
          </w:p>
        </w:tc>
        <w:tc>
          <w:tcPr>
            <w:tcW w:w="4732" w:type="dxa"/>
            <w:shd w:val="clear" w:color="auto" w:fill="auto"/>
          </w:tcPr>
          <w:p w14:paraId="1B4936E4" w14:textId="316E20BB" w:rsidR="00CF26CC" w:rsidRPr="008A7BAA" w:rsidRDefault="00CF26CC" w:rsidP="00CF26CC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January 2021</w:t>
            </w:r>
          </w:p>
        </w:tc>
      </w:tr>
      <w:tr w:rsidR="00CF26CC" w:rsidRPr="008A7BAA" w14:paraId="5D15F127" w14:textId="77777777" w:rsidTr="007A2130">
        <w:tc>
          <w:tcPr>
            <w:tcW w:w="3570" w:type="dxa"/>
            <w:shd w:val="clear" w:color="auto" w:fill="auto"/>
          </w:tcPr>
          <w:p w14:paraId="35D6A935" w14:textId="77777777" w:rsidR="00CF26CC" w:rsidRPr="008A7BAA" w:rsidRDefault="00CF26CC" w:rsidP="00CF26CC">
            <w:pPr>
              <w:pStyle w:val="c1"/>
              <w:tabs>
                <w:tab w:val="left" w:pos="600"/>
                <w:tab w:val="left" w:pos="3828"/>
              </w:tabs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5D52C896">
              <w:rPr>
                <w:rFonts w:ascii="Arial" w:eastAsia="Arial" w:hAnsi="Arial" w:cs="Arial"/>
                <w:sz w:val="20"/>
                <w:szCs w:val="20"/>
              </w:rPr>
              <w:t xml:space="preserve">Date on which it became operational </w:t>
            </w:r>
          </w:p>
        </w:tc>
        <w:tc>
          <w:tcPr>
            <w:tcW w:w="4732" w:type="dxa"/>
            <w:shd w:val="clear" w:color="auto" w:fill="auto"/>
          </w:tcPr>
          <w:p w14:paraId="072622E9" w14:textId="054356FB" w:rsidR="00CF26CC" w:rsidRPr="008A7BAA" w:rsidRDefault="00CF26CC" w:rsidP="00CF26CC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January 2021</w:t>
            </w:r>
          </w:p>
        </w:tc>
      </w:tr>
      <w:tr w:rsidR="00CF26CC" w:rsidRPr="008A7BAA" w14:paraId="1447295A" w14:textId="77777777" w:rsidTr="007A2130">
        <w:tc>
          <w:tcPr>
            <w:tcW w:w="3570" w:type="dxa"/>
            <w:shd w:val="clear" w:color="auto" w:fill="auto"/>
          </w:tcPr>
          <w:p w14:paraId="2DD13AF6" w14:textId="77777777" w:rsidR="00CF26CC" w:rsidRPr="008A7BAA" w:rsidRDefault="00CF26CC" w:rsidP="00CF26CC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D52C896">
              <w:rPr>
                <w:rFonts w:ascii="Arial" w:eastAsia="Arial" w:hAnsi="Arial" w:cs="Arial"/>
                <w:sz w:val="20"/>
                <w:szCs w:val="20"/>
              </w:rPr>
              <w:t xml:space="preserve">Next review date </w:t>
            </w:r>
          </w:p>
        </w:tc>
        <w:tc>
          <w:tcPr>
            <w:tcW w:w="4732" w:type="dxa"/>
            <w:shd w:val="clear" w:color="auto" w:fill="auto"/>
          </w:tcPr>
          <w:p w14:paraId="4ECFC862" w14:textId="74343763" w:rsidR="00CF26CC" w:rsidRPr="008A7BAA" w:rsidRDefault="00CF26CC" w:rsidP="00CF26CC">
            <w:pPr>
              <w:pStyle w:val="c1"/>
              <w:tabs>
                <w:tab w:val="left" w:pos="600"/>
                <w:tab w:val="left" w:pos="3828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January 2022</w:t>
            </w:r>
          </w:p>
        </w:tc>
      </w:tr>
      <w:bookmarkEnd w:id="0"/>
    </w:tbl>
    <w:p w14:paraId="5739F2D9" w14:textId="0E291AA0" w:rsidR="00253AFE" w:rsidRDefault="00253AFE" w:rsidP="00CA05B4">
      <w:pPr>
        <w:pStyle w:val="Header"/>
        <w:jc w:val="center"/>
        <w:rPr>
          <w:b/>
        </w:rPr>
      </w:pPr>
    </w:p>
    <w:p w14:paraId="59EF26B8" w14:textId="46AD3C55" w:rsidR="00253AFE" w:rsidRDefault="00253AFE" w:rsidP="00CA05B4">
      <w:pPr>
        <w:pStyle w:val="Header"/>
        <w:jc w:val="center"/>
        <w:rPr>
          <w:b/>
        </w:rPr>
      </w:pPr>
    </w:p>
    <w:p w14:paraId="7EF05A66" w14:textId="77777777" w:rsidR="00253AFE" w:rsidRDefault="00253AFE" w:rsidP="00CA05B4">
      <w:pPr>
        <w:pStyle w:val="Header"/>
        <w:jc w:val="center"/>
        <w:rPr>
          <w:b/>
        </w:rPr>
      </w:pPr>
    </w:p>
    <w:p w14:paraId="08F27DD5" w14:textId="65264A05" w:rsidR="00253AFE" w:rsidRDefault="00253AFE" w:rsidP="00CA05B4">
      <w:pPr>
        <w:pStyle w:val="Header"/>
        <w:jc w:val="center"/>
        <w:rPr>
          <w:b/>
        </w:rPr>
      </w:pPr>
    </w:p>
    <w:p w14:paraId="69D4AA9B" w14:textId="77777777" w:rsidR="00253AFE" w:rsidRPr="00E25633" w:rsidRDefault="00253AFE" w:rsidP="00CA05B4">
      <w:pPr>
        <w:pStyle w:val="Header"/>
        <w:jc w:val="center"/>
        <w:rPr>
          <w:b/>
        </w:rPr>
      </w:pPr>
    </w:p>
    <w:p w14:paraId="63FD6004" w14:textId="48FF4F08" w:rsidR="00CA05B4" w:rsidRDefault="00CA05B4">
      <w:pPr>
        <w:rPr>
          <w:rFonts w:ascii="Geneva" w:hAnsi="Geneva"/>
          <w:color w:val="404040" w:themeColor="text1" w:themeTint="BF"/>
          <w:sz w:val="20"/>
          <w:szCs w:val="20"/>
        </w:rPr>
      </w:pPr>
    </w:p>
    <w:p w14:paraId="0587C8F7" w14:textId="77777777" w:rsidR="00253AFE" w:rsidRDefault="00253AFE">
      <w:pPr>
        <w:rPr>
          <w:rFonts w:ascii="Geneva" w:hAnsi="Geneva"/>
          <w:color w:val="404040" w:themeColor="text1" w:themeTint="BF"/>
          <w:sz w:val="20"/>
          <w:szCs w:val="20"/>
        </w:rPr>
      </w:pPr>
    </w:p>
    <w:p w14:paraId="23CB5FA9" w14:textId="77777777" w:rsidR="00CA05B4" w:rsidRPr="00762EF4" w:rsidRDefault="00CA05B4" w:rsidP="00CA05B4">
      <w:pPr>
        <w:jc w:val="both"/>
      </w:pPr>
      <w:r w:rsidRPr="00762EF4">
        <w:t>The following must apply in respect of all monies raised by a Parents’ Association;</w:t>
      </w:r>
    </w:p>
    <w:p w14:paraId="57C5BF0C" w14:textId="77777777" w:rsidR="00CA05B4" w:rsidRPr="00762EF4" w:rsidRDefault="00CA05B4" w:rsidP="00CA05B4">
      <w:pPr>
        <w:jc w:val="both"/>
      </w:pPr>
    </w:p>
    <w:p w14:paraId="4C218FCA" w14:textId="77777777" w:rsidR="00CA05B4" w:rsidRPr="00762EF4" w:rsidRDefault="00CA05B4" w:rsidP="00CA05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62EF4">
        <w:rPr>
          <w:sz w:val="24"/>
          <w:szCs w:val="24"/>
        </w:rPr>
        <w:t>The Principal must formally authorise all fund raising;</w:t>
      </w:r>
    </w:p>
    <w:p w14:paraId="3E961778" w14:textId="77777777" w:rsidR="00CA05B4" w:rsidRPr="00762EF4" w:rsidRDefault="00CA05B4" w:rsidP="00CA05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62EF4">
        <w:rPr>
          <w:sz w:val="24"/>
          <w:szCs w:val="24"/>
        </w:rPr>
        <w:t>The purpose for which the monies are raised must be set out in each instance of each fund raising initiative;</w:t>
      </w:r>
    </w:p>
    <w:p w14:paraId="1F0F1D54" w14:textId="77777777" w:rsidR="00CA05B4" w:rsidRPr="00762EF4" w:rsidRDefault="00CA05B4" w:rsidP="00CA05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62EF4">
        <w:rPr>
          <w:sz w:val="24"/>
          <w:szCs w:val="24"/>
        </w:rPr>
        <w:t>A receipt should issue where appropriate;</w:t>
      </w:r>
    </w:p>
    <w:p w14:paraId="07B1180E" w14:textId="5446B0C5" w:rsidR="007F39DF" w:rsidRPr="00762EF4" w:rsidRDefault="007F39DF" w:rsidP="00CA05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Monies raised must be exclusively used for the benefit of the school but not necessarily and entirely for the specific purpose defined or stated. The purpose mu</w:t>
      </w:r>
      <w:r w:rsidR="00B7378B">
        <w:rPr>
          <w:sz w:val="24"/>
          <w:szCs w:val="24"/>
        </w:rPr>
        <w:t>st be approved by the Principal;</w:t>
      </w:r>
    </w:p>
    <w:p w14:paraId="65310CE8" w14:textId="77777777" w:rsidR="00CA05B4" w:rsidRPr="00762EF4" w:rsidRDefault="00CA05B4" w:rsidP="00CA05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62EF4">
        <w:rPr>
          <w:sz w:val="24"/>
          <w:szCs w:val="24"/>
        </w:rPr>
        <w:t>Quotations should be sought for all goods and services, as follows;</w:t>
      </w:r>
    </w:p>
    <w:p w14:paraId="25C90211" w14:textId="77777777" w:rsidR="00CA05B4" w:rsidRPr="00762EF4" w:rsidRDefault="00CA05B4" w:rsidP="00CA05B4">
      <w:pPr>
        <w:pStyle w:val="ListParagraph"/>
        <w:jc w:val="both"/>
        <w:rPr>
          <w:sz w:val="24"/>
          <w:szCs w:val="24"/>
        </w:rPr>
      </w:pPr>
    </w:p>
    <w:p w14:paraId="2B60FB3A" w14:textId="18FB0D7A" w:rsidR="00CA05B4" w:rsidRPr="002753A7" w:rsidRDefault="00CA05B4" w:rsidP="002753A7">
      <w:pPr>
        <w:ind w:firstLine="720"/>
        <w:jc w:val="both"/>
        <w:rPr>
          <w:b/>
        </w:rPr>
      </w:pPr>
      <w:r w:rsidRPr="002753A7">
        <w:rPr>
          <w:b/>
        </w:rPr>
        <w:t>Value of Purchase (incl</w:t>
      </w:r>
      <w:r w:rsidR="002753A7" w:rsidRPr="002753A7">
        <w:rPr>
          <w:b/>
        </w:rPr>
        <w:t>uding</w:t>
      </w:r>
      <w:r w:rsidRPr="002753A7">
        <w:rPr>
          <w:b/>
        </w:rPr>
        <w:t xml:space="preserve"> VAT)</w:t>
      </w:r>
      <w:r w:rsidRPr="002753A7">
        <w:rPr>
          <w:b/>
        </w:rPr>
        <w:tab/>
      </w:r>
      <w:r w:rsidRPr="002753A7">
        <w:rPr>
          <w:b/>
        </w:rPr>
        <w:tab/>
      </w:r>
      <w:r w:rsidR="00762EF4" w:rsidRPr="002753A7">
        <w:rPr>
          <w:b/>
        </w:rPr>
        <w:tab/>
      </w:r>
      <w:r w:rsidR="003146EC" w:rsidRPr="002753A7">
        <w:rPr>
          <w:b/>
        </w:rPr>
        <w:t>Number</w:t>
      </w:r>
      <w:r w:rsidRPr="002753A7">
        <w:rPr>
          <w:b/>
        </w:rPr>
        <w:t xml:space="preserve"> of quotations</w:t>
      </w:r>
    </w:p>
    <w:p w14:paraId="3235C582" w14:textId="6865BE64" w:rsidR="00710043" w:rsidRPr="002753A7" w:rsidRDefault="00710043" w:rsidP="002753A7">
      <w:pPr>
        <w:pStyle w:val="ListParagraph"/>
        <w:numPr>
          <w:ilvl w:val="0"/>
          <w:numId w:val="2"/>
        </w:numPr>
        <w:jc w:val="both"/>
        <w:rPr>
          <w:b/>
        </w:rPr>
      </w:pPr>
      <w:r w:rsidRPr="002753A7">
        <w:t>Purchases less than €500</w:t>
      </w:r>
      <w:r w:rsidRPr="002753A7">
        <w:tab/>
      </w:r>
      <w:r w:rsidRPr="002753A7">
        <w:tab/>
      </w:r>
      <w:r w:rsidRPr="002753A7">
        <w:tab/>
      </w:r>
      <w:r w:rsidR="00762EF4" w:rsidRPr="002753A7">
        <w:tab/>
      </w:r>
      <w:r w:rsidRPr="002753A7">
        <w:t>No quote</w:t>
      </w:r>
    </w:p>
    <w:p w14:paraId="4292AAA0" w14:textId="40E519FD" w:rsidR="00CA05B4" w:rsidRPr="002753A7" w:rsidRDefault="00710043" w:rsidP="002753A7">
      <w:pPr>
        <w:pStyle w:val="ListParagraph"/>
        <w:numPr>
          <w:ilvl w:val="0"/>
          <w:numId w:val="2"/>
        </w:numPr>
        <w:jc w:val="both"/>
      </w:pPr>
      <w:r w:rsidRPr="002753A7">
        <w:t xml:space="preserve">Greater than €500, </w:t>
      </w:r>
      <w:r w:rsidR="00F436DE" w:rsidRPr="002753A7">
        <w:t>less than €5</w:t>
      </w:r>
      <w:r w:rsidR="00CA05B4" w:rsidRPr="002753A7">
        <w:t>,000</w:t>
      </w:r>
      <w:r w:rsidR="00CA05B4" w:rsidRPr="002753A7">
        <w:tab/>
      </w:r>
      <w:r w:rsidR="00CA05B4" w:rsidRPr="002753A7">
        <w:tab/>
      </w:r>
      <w:r w:rsidR="00762EF4" w:rsidRPr="002753A7">
        <w:tab/>
      </w:r>
      <w:r w:rsidR="00CA05B4" w:rsidRPr="002753A7">
        <w:t>1 quotation</w:t>
      </w:r>
    </w:p>
    <w:p w14:paraId="0FA88BB4" w14:textId="6DB8DF29" w:rsidR="00CA05B4" w:rsidRPr="002753A7" w:rsidRDefault="00CA05B4" w:rsidP="002753A7">
      <w:pPr>
        <w:pStyle w:val="ListParagraph"/>
        <w:numPr>
          <w:ilvl w:val="0"/>
          <w:numId w:val="2"/>
        </w:numPr>
        <w:jc w:val="both"/>
      </w:pPr>
      <w:r w:rsidRPr="002753A7">
        <w:t>Greater than €</w:t>
      </w:r>
      <w:r w:rsidR="00F436DE" w:rsidRPr="002753A7">
        <w:t>5</w:t>
      </w:r>
      <w:r w:rsidRPr="002753A7">
        <w:t>,000, less than €1</w:t>
      </w:r>
      <w:r w:rsidR="00F436DE" w:rsidRPr="002753A7">
        <w:t>5</w:t>
      </w:r>
      <w:r w:rsidRPr="002753A7">
        <w:t>,000</w:t>
      </w:r>
      <w:r w:rsidRPr="002753A7">
        <w:tab/>
      </w:r>
      <w:r w:rsidRPr="002753A7">
        <w:tab/>
        <w:t>3 quotations</w:t>
      </w:r>
    </w:p>
    <w:p w14:paraId="5004281F" w14:textId="59456158" w:rsidR="00CA05B4" w:rsidRPr="002753A7" w:rsidRDefault="00CA05B4" w:rsidP="002753A7">
      <w:pPr>
        <w:pStyle w:val="ListParagraph"/>
        <w:numPr>
          <w:ilvl w:val="0"/>
          <w:numId w:val="2"/>
        </w:numPr>
        <w:jc w:val="both"/>
      </w:pPr>
      <w:r w:rsidRPr="002753A7">
        <w:t>Greater than €1</w:t>
      </w:r>
      <w:r w:rsidR="00F436DE" w:rsidRPr="002753A7">
        <w:t>5</w:t>
      </w:r>
      <w:r w:rsidRPr="002753A7">
        <w:t>,000</w:t>
      </w:r>
      <w:r w:rsidR="00F436DE" w:rsidRPr="002753A7">
        <w:t>, less than €25,000</w:t>
      </w:r>
      <w:r w:rsidRPr="002753A7">
        <w:tab/>
      </w:r>
      <w:r w:rsidRPr="002753A7">
        <w:tab/>
        <w:t>5 quotations</w:t>
      </w:r>
    </w:p>
    <w:p w14:paraId="55B4598A" w14:textId="02DBE48B" w:rsidR="00F436DE" w:rsidRPr="002753A7" w:rsidRDefault="00F436DE" w:rsidP="002753A7">
      <w:pPr>
        <w:jc w:val="both"/>
      </w:pPr>
      <w:r w:rsidRPr="002753A7">
        <w:t>Over €25,000 must go to tender</w:t>
      </w:r>
    </w:p>
    <w:p w14:paraId="4A83FBC9" w14:textId="77777777" w:rsidR="00CA05B4" w:rsidRPr="00762EF4" w:rsidRDefault="00CA05B4" w:rsidP="00CA05B4">
      <w:pPr>
        <w:pStyle w:val="ListParagraph"/>
        <w:ind w:left="1440"/>
        <w:jc w:val="both"/>
        <w:rPr>
          <w:sz w:val="24"/>
          <w:szCs w:val="24"/>
        </w:rPr>
      </w:pPr>
    </w:p>
    <w:p w14:paraId="445F35A5" w14:textId="77777777" w:rsidR="00CA05B4" w:rsidRPr="00762EF4" w:rsidRDefault="00CA05B4" w:rsidP="00CA05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62EF4">
        <w:rPr>
          <w:sz w:val="24"/>
          <w:szCs w:val="24"/>
        </w:rPr>
        <w:t>Each school must have a sequentially numbered order book.  All purchases must be on foot of an order, approved by the Principal;</w:t>
      </w:r>
    </w:p>
    <w:p w14:paraId="1399DCCD" w14:textId="77777777" w:rsidR="00CA05B4" w:rsidRPr="00762EF4" w:rsidRDefault="00CA05B4" w:rsidP="00CA05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62EF4">
        <w:rPr>
          <w:sz w:val="24"/>
          <w:szCs w:val="24"/>
        </w:rPr>
        <w:t>In instances where there will be any works of a building/construction nature or taxation implications (Relevant Contract Tax, Reverse VAT and Professional Services Withholding Tax), please contact the Buildings Team and/or Finance respectively;</w:t>
      </w:r>
    </w:p>
    <w:p w14:paraId="10B8607E" w14:textId="77777777" w:rsidR="00CA05B4" w:rsidRPr="00762EF4" w:rsidRDefault="00CA05B4" w:rsidP="00CA05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62EF4">
        <w:rPr>
          <w:sz w:val="24"/>
          <w:szCs w:val="24"/>
        </w:rPr>
        <w:t>The Parents’ Association may have one current account only;</w:t>
      </w:r>
    </w:p>
    <w:p w14:paraId="0C5A8836" w14:textId="77777777" w:rsidR="00CA05B4" w:rsidRPr="00762EF4" w:rsidRDefault="00CA05B4" w:rsidP="00CA05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62EF4">
        <w:rPr>
          <w:sz w:val="24"/>
          <w:szCs w:val="24"/>
        </w:rPr>
        <w:t>Each cheque or other disbursement must have two signatories, one of which must be the Principal.  No disbursement may be made in the absence of an order and original invoice;</w:t>
      </w:r>
    </w:p>
    <w:p w14:paraId="08282935" w14:textId="77777777" w:rsidR="00CA05B4" w:rsidRPr="00762EF4" w:rsidRDefault="00CA05B4" w:rsidP="00CA05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62EF4">
        <w:rPr>
          <w:sz w:val="24"/>
          <w:szCs w:val="24"/>
        </w:rPr>
        <w:t>The account must be fully reconciled on a quarterly basis;</w:t>
      </w:r>
    </w:p>
    <w:p w14:paraId="07C18277" w14:textId="77777777" w:rsidR="00CA05B4" w:rsidRPr="00762EF4" w:rsidRDefault="00CA05B4" w:rsidP="00CA05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62EF4">
        <w:rPr>
          <w:sz w:val="24"/>
          <w:szCs w:val="24"/>
        </w:rPr>
        <w:lastRenderedPageBreak/>
        <w:t>The order and all associated invoices must be stapled together and filed, in addition to a copy of the cheque;</w:t>
      </w:r>
    </w:p>
    <w:p w14:paraId="25B6C927" w14:textId="77777777" w:rsidR="00CA05B4" w:rsidRPr="00762EF4" w:rsidRDefault="00CA05B4" w:rsidP="00CA05B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62EF4">
        <w:rPr>
          <w:sz w:val="24"/>
          <w:szCs w:val="24"/>
        </w:rPr>
        <w:t>A financial report setting out the opening cash balance,  income and expenditure for the period must be given to the Board of Management on a quarterly basis;</w:t>
      </w:r>
    </w:p>
    <w:p w14:paraId="5554C5CA" w14:textId="17F80ABB" w:rsidR="00762EF4" w:rsidRPr="00762EF4" w:rsidRDefault="00CA05B4" w:rsidP="00762EF4">
      <w:pPr>
        <w:pStyle w:val="ListParagraph"/>
        <w:numPr>
          <w:ilvl w:val="0"/>
          <w:numId w:val="1"/>
        </w:numPr>
        <w:jc w:val="both"/>
        <w:rPr>
          <w:rFonts w:ascii="Geneva" w:hAnsi="Geneva"/>
          <w:color w:val="404040" w:themeColor="text1" w:themeTint="BF"/>
          <w:sz w:val="24"/>
          <w:szCs w:val="24"/>
        </w:rPr>
      </w:pPr>
      <w:r w:rsidRPr="00762EF4">
        <w:rPr>
          <w:sz w:val="24"/>
          <w:szCs w:val="24"/>
        </w:rPr>
        <w:t>Head Office may review the reconciliation and any underlying and related documentation at their discretion.</w:t>
      </w:r>
    </w:p>
    <w:p w14:paraId="32FFBCBA" w14:textId="50E78442" w:rsidR="00762EF4" w:rsidRPr="00CC250C" w:rsidRDefault="00762EF4" w:rsidP="00762EF4">
      <w:pPr>
        <w:ind w:left="360"/>
        <w:jc w:val="both"/>
        <w:rPr>
          <w:rFonts w:ascii="Geneva" w:hAnsi="Geneva"/>
          <w:b/>
          <w:color w:val="404040" w:themeColor="text1" w:themeTint="BF"/>
          <w:sz w:val="20"/>
          <w:szCs w:val="20"/>
        </w:rPr>
      </w:pPr>
      <w:r w:rsidRPr="00CC250C">
        <w:rPr>
          <w:rFonts w:ascii="Geneva" w:hAnsi="Geneva"/>
          <w:b/>
          <w:color w:val="404040" w:themeColor="text1" w:themeTint="BF"/>
          <w:sz w:val="20"/>
          <w:szCs w:val="20"/>
        </w:rPr>
        <w:t>END</w:t>
      </w:r>
    </w:p>
    <w:sectPr w:rsidR="00762EF4" w:rsidRPr="00CC250C" w:rsidSect="002753A7">
      <w:headerReference w:type="even" r:id="rId7"/>
      <w:headerReference w:type="default" r:id="rId8"/>
      <w:headerReference w:type="first" r:id="rId9"/>
      <w:pgSz w:w="11900" w:h="16840" w:code="9"/>
      <w:pgMar w:top="3119" w:right="794" w:bottom="2495" w:left="79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CAD0D" w14:textId="77777777" w:rsidR="00FB5E38" w:rsidRDefault="00FB5E38" w:rsidP="00663FEA">
      <w:r>
        <w:separator/>
      </w:r>
    </w:p>
  </w:endnote>
  <w:endnote w:type="continuationSeparator" w:id="0">
    <w:p w14:paraId="251590FB" w14:textId="77777777" w:rsidR="00FB5E38" w:rsidRDefault="00FB5E38" w:rsidP="0066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Yu Gothic UI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A6EB0" w14:textId="77777777" w:rsidR="00FB5E38" w:rsidRDefault="00FB5E38" w:rsidP="00663FEA">
      <w:r>
        <w:separator/>
      </w:r>
    </w:p>
  </w:footnote>
  <w:footnote w:type="continuationSeparator" w:id="0">
    <w:p w14:paraId="66BF4605" w14:textId="77777777" w:rsidR="00FB5E38" w:rsidRDefault="00FB5E38" w:rsidP="00663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73756" w14:textId="77777777" w:rsidR="00663FEA" w:rsidRDefault="00FB5E38">
    <w:pPr>
      <w:pStyle w:val="Header"/>
    </w:pPr>
    <w:r>
      <w:rPr>
        <w:noProof/>
      </w:rPr>
      <w:pict w14:anchorId="2E633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45pt;height:842.15pt;z-index:-251657216;mso-wrap-edited:f;mso-position-horizontal:center;mso-position-horizontal-relative:margin;mso-position-vertical:center;mso-position-vertical-relative:margin" wrapcoords="-27 0 -27 21581 21600 21581 21600 0 -27 0">
          <v:imagedata r:id="rId1" o:title="ddletb word headed pap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1FDDB" w14:textId="77777777" w:rsidR="00663FEA" w:rsidRDefault="00FB5E38">
    <w:pPr>
      <w:pStyle w:val="Header"/>
    </w:pPr>
    <w:r>
      <w:rPr>
        <w:noProof/>
      </w:rPr>
      <w:pict w14:anchorId="2E5277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45pt;height:842.15pt;z-index:-251658240;mso-wrap-edited:f;mso-position-horizontal:center;mso-position-horizontal-relative:margin;mso-position-vertical:center;mso-position-vertical-relative:margin" wrapcoords="-27 0 -27 21581 21600 21581 21600 0 -27 0">
          <v:imagedata r:id="rId1" o:title="ddletb word headed pap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91BA0" w14:textId="77777777" w:rsidR="00663FEA" w:rsidRDefault="00FB5E38">
    <w:pPr>
      <w:pStyle w:val="Header"/>
    </w:pPr>
    <w:r>
      <w:rPr>
        <w:noProof/>
      </w:rPr>
      <w:pict w14:anchorId="2CD1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45pt;height:842.15pt;z-index:-251656192;mso-wrap-edited:f;mso-position-horizontal:center;mso-position-horizontal-relative:margin;mso-position-vertical:center;mso-position-vertical-relative:margin" wrapcoords="-27 0 -27 21581 21600 21581 21600 0 -27 0">
          <v:imagedata r:id="rId1" o:title="ddletb word headed pap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1EB1"/>
    <w:multiLevelType w:val="hybridMultilevel"/>
    <w:tmpl w:val="C124010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C63195"/>
    <w:multiLevelType w:val="hybridMultilevel"/>
    <w:tmpl w:val="DEFCFD9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EA"/>
    <w:rsid w:val="000336D7"/>
    <w:rsid w:val="001A29A4"/>
    <w:rsid w:val="00253AFE"/>
    <w:rsid w:val="002753A7"/>
    <w:rsid w:val="003146EC"/>
    <w:rsid w:val="00542F4E"/>
    <w:rsid w:val="00663FEA"/>
    <w:rsid w:val="0069318E"/>
    <w:rsid w:val="00710043"/>
    <w:rsid w:val="00762EF4"/>
    <w:rsid w:val="007F39DF"/>
    <w:rsid w:val="00910241"/>
    <w:rsid w:val="00A129AE"/>
    <w:rsid w:val="00B7378B"/>
    <w:rsid w:val="00CA05B4"/>
    <w:rsid w:val="00CA5A6C"/>
    <w:rsid w:val="00CB5426"/>
    <w:rsid w:val="00CC250C"/>
    <w:rsid w:val="00CC7712"/>
    <w:rsid w:val="00CF26CC"/>
    <w:rsid w:val="00DB0490"/>
    <w:rsid w:val="00DE47C3"/>
    <w:rsid w:val="00E00708"/>
    <w:rsid w:val="00E67976"/>
    <w:rsid w:val="00F35D9F"/>
    <w:rsid w:val="00F436DE"/>
    <w:rsid w:val="00F52B13"/>
    <w:rsid w:val="00FB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1AD3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F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FEA"/>
  </w:style>
  <w:style w:type="paragraph" w:styleId="Footer">
    <w:name w:val="footer"/>
    <w:basedOn w:val="Normal"/>
    <w:link w:val="FooterChar"/>
    <w:uiPriority w:val="99"/>
    <w:unhideWhenUsed/>
    <w:rsid w:val="00663F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FEA"/>
  </w:style>
  <w:style w:type="paragraph" w:styleId="ListParagraph">
    <w:name w:val="List Paragraph"/>
    <w:basedOn w:val="Normal"/>
    <w:uiPriority w:val="34"/>
    <w:qFormat/>
    <w:rsid w:val="00CA05B4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IE" w:eastAsia="en-US"/>
    </w:rPr>
  </w:style>
  <w:style w:type="paragraph" w:customStyle="1" w:styleId="c1">
    <w:name w:val="c1"/>
    <w:basedOn w:val="Normal"/>
    <w:rsid w:val="00253AFE"/>
    <w:pPr>
      <w:widowControl w:val="0"/>
      <w:autoSpaceDE w:val="0"/>
      <w:autoSpaceDN w:val="0"/>
      <w:spacing w:line="240" w:lineRule="atLeast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4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CODUBVEC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O'Shea</dc:creator>
  <cp:keywords/>
  <dc:description/>
  <cp:lastModifiedBy>Thea Jordan (PAO)</cp:lastModifiedBy>
  <cp:revision>4</cp:revision>
  <cp:lastPrinted>2017-09-06T14:53:00Z</cp:lastPrinted>
  <dcterms:created xsi:type="dcterms:W3CDTF">2020-12-03T11:42:00Z</dcterms:created>
  <dcterms:modified xsi:type="dcterms:W3CDTF">2021-01-11T10:50:00Z</dcterms:modified>
</cp:coreProperties>
</file>