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A05" w:rsidRPr="004B3FE1" w:rsidRDefault="00EF0A05" w:rsidP="004A269E">
      <w:pPr>
        <w:shd w:val="clear" w:color="auto" w:fill="FFFFFF"/>
        <w:spacing w:after="0" w:line="240" w:lineRule="auto"/>
        <w:jc w:val="center"/>
        <w:textAlignment w:val="baseline"/>
        <w:rPr>
          <w:rFonts w:ascii="Arial" w:eastAsia="Times New Roman" w:hAnsi="Arial" w:cs="Arial"/>
          <w:lang w:eastAsia="en-IE"/>
        </w:rPr>
      </w:pPr>
      <w:bookmarkStart w:id="0" w:name="_GoBack"/>
      <w:r w:rsidRPr="004B3FE1">
        <w:rPr>
          <w:rFonts w:ascii="Arial" w:eastAsia="Times New Roman" w:hAnsi="Arial" w:cs="Arial"/>
          <w:b/>
          <w:bCs/>
          <w:bdr w:val="none" w:sz="0" w:space="0" w:color="auto" w:frame="1"/>
          <w:lang w:eastAsia="en-IE"/>
        </w:rPr>
        <w:br/>
        <w:t>NEW ARRANGEMENTS AND PROCEDURES FOR APPEALS UNDER SECTION 29 OF THE EDUCATION ACT 1998 EFFECTIV</w:t>
      </w:r>
      <w:r w:rsidR="004A269E" w:rsidRPr="004B3FE1">
        <w:rPr>
          <w:rFonts w:ascii="Arial" w:eastAsia="Times New Roman" w:hAnsi="Arial" w:cs="Arial"/>
          <w:b/>
          <w:bCs/>
          <w:bdr w:val="none" w:sz="0" w:space="0" w:color="auto" w:frame="1"/>
          <w:lang w:eastAsia="en-IE"/>
        </w:rPr>
        <w:t>E FROM 12 NOVEMBER 2020 ONWARDS</w:t>
      </w:r>
    </w:p>
    <w:p w:rsidR="00EF0A05" w:rsidRPr="004B3FE1" w:rsidRDefault="00EF0A05" w:rsidP="004A269E">
      <w:pPr>
        <w:shd w:val="clear" w:color="auto" w:fill="FFFFFF"/>
        <w:spacing w:after="0" w:line="240" w:lineRule="auto"/>
        <w:jc w:val="both"/>
        <w:textAlignment w:val="baseline"/>
        <w:rPr>
          <w:rFonts w:ascii="Arial" w:eastAsia="Times New Roman" w:hAnsi="Arial" w:cs="Arial"/>
          <w:lang w:eastAsia="en-IE"/>
        </w:rPr>
      </w:pPr>
    </w:p>
    <w:p w:rsidR="00EF0A05" w:rsidRPr="004B3FE1" w:rsidRDefault="00EF0A05" w:rsidP="004A269E">
      <w:pPr>
        <w:shd w:val="clear" w:color="auto" w:fill="FFFFFF"/>
        <w:spacing w:after="0" w:line="240" w:lineRule="auto"/>
        <w:jc w:val="both"/>
        <w:textAlignment w:val="baseline"/>
        <w:rPr>
          <w:rFonts w:ascii="Arial" w:eastAsia="Times New Roman" w:hAnsi="Arial" w:cs="Arial"/>
          <w:lang w:eastAsia="en-IE"/>
        </w:rPr>
      </w:pPr>
      <w:r w:rsidRPr="004B3FE1">
        <w:rPr>
          <w:rFonts w:ascii="Arial" w:eastAsia="Times New Roman" w:hAnsi="Arial" w:cs="Arial"/>
          <w:bdr w:val="none" w:sz="0" w:space="0" w:color="auto" w:frame="1"/>
          <w:lang w:eastAsia="en-IE"/>
        </w:rPr>
        <w:t>The new appeal arrangements will apply to appeals made from 12 November 2020 onwards.</w:t>
      </w:r>
    </w:p>
    <w:p w:rsidR="00EF0A05" w:rsidRPr="004B3FE1" w:rsidRDefault="00EF0A05" w:rsidP="004A269E">
      <w:pPr>
        <w:shd w:val="clear" w:color="auto" w:fill="FFFFFF"/>
        <w:spacing w:after="0" w:line="240" w:lineRule="auto"/>
        <w:jc w:val="both"/>
        <w:textAlignment w:val="baseline"/>
        <w:rPr>
          <w:rFonts w:ascii="Arial" w:eastAsia="Times New Roman" w:hAnsi="Arial" w:cs="Arial"/>
          <w:lang w:eastAsia="en-IE"/>
        </w:rPr>
      </w:pPr>
      <w:r w:rsidRPr="004B3FE1">
        <w:rPr>
          <w:rFonts w:ascii="Arial" w:eastAsia="Times New Roman" w:hAnsi="Arial" w:cs="Arial"/>
          <w:bdr w:val="none" w:sz="0" w:space="0" w:color="auto" w:frame="1"/>
          <w:lang w:eastAsia="en-IE"/>
        </w:rPr>
        <w:br/>
      </w:r>
    </w:p>
    <w:p w:rsidR="00EF0A05" w:rsidRPr="004B3FE1" w:rsidRDefault="00EF0A05" w:rsidP="004A269E">
      <w:pPr>
        <w:shd w:val="clear" w:color="auto" w:fill="FFFFFF"/>
        <w:spacing w:after="0" w:line="240" w:lineRule="auto"/>
        <w:jc w:val="both"/>
        <w:textAlignment w:val="baseline"/>
        <w:rPr>
          <w:rFonts w:ascii="Arial" w:eastAsia="Times New Roman" w:hAnsi="Arial" w:cs="Arial"/>
          <w:lang w:eastAsia="en-IE"/>
        </w:rPr>
      </w:pPr>
      <w:r w:rsidRPr="004B3FE1">
        <w:rPr>
          <w:rFonts w:ascii="Arial" w:eastAsia="Times New Roman" w:hAnsi="Arial" w:cs="Arial"/>
          <w:bdr w:val="none" w:sz="0" w:space="0" w:color="auto" w:frame="1"/>
          <w:lang w:eastAsia="en-IE"/>
        </w:rPr>
        <w:t>Section 7 of the Education (Admissions to Schools) Act 2018 has provided for the replacement of the existing Section 29 of the Education Act 1998 with a series of n</w:t>
      </w:r>
      <w:r w:rsidR="00ED385B" w:rsidRPr="004B3FE1">
        <w:rPr>
          <w:rFonts w:ascii="Arial" w:eastAsia="Times New Roman" w:hAnsi="Arial" w:cs="Arial"/>
          <w:bdr w:val="none" w:sz="0" w:space="0" w:color="auto" w:frame="1"/>
          <w:lang w:eastAsia="en-IE"/>
        </w:rPr>
        <w:t>ew sections numbered 29 to 29F.</w:t>
      </w:r>
    </w:p>
    <w:p w:rsidR="00EF0A05" w:rsidRPr="004B3FE1" w:rsidRDefault="00EF0A05" w:rsidP="004A269E">
      <w:pPr>
        <w:shd w:val="clear" w:color="auto" w:fill="FFFFFF"/>
        <w:spacing w:after="0" w:line="240" w:lineRule="auto"/>
        <w:jc w:val="both"/>
        <w:textAlignment w:val="baseline"/>
        <w:rPr>
          <w:rFonts w:ascii="Arial" w:eastAsia="Times New Roman" w:hAnsi="Arial" w:cs="Arial"/>
          <w:lang w:eastAsia="en-IE"/>
        </w:rPr>
      </w:pPr>
      <w:r w:rsidRPr="004B3FE1">
        <w:rPr>
          <w:rFonts w:ascii="Arial" w:eastAsia="Times New Roman" w:hAnsi="Arial" w:cs="Arial"/>
          <w:bdr w:val="none" w:sz="0" w:space="0" w:color="auto" w:frame="1"/>
          <w:lang w:eastAsia="en-IE"/>
        </w:rPr>
        <w:br/>
      </w:r>
    </w:p>
    <w:p w:rsidR="00EF0A05" w:rsidRPr="004B3FE1" w:rsidRDefault="00EF0A05" w:rsidP="004A269E">
      <w:pPr>
        <w:shd w:val="clear" w:color="auto" w:fill="FFFFFF"/>
        <w:spacing w:after="0" w:line="240" w:lineRule="auto"/>
        <w:jc w:val="both"/>
        <w:textAlignment w:val="baseline"/>
        <w:rPr>
          <w:rFonts w:ascii="Arial" w:eastAsia="Times New Roman" w:hAnsi="Arial" w:cs="Arial"/>
          <w:lang w:eastAsia="en-IE"/>
        </w:rPr>
      </w:pPr>
      <w:r w:rsidRPr="004B3FE1">
        <w:rPr>
          <w:rFonts w:ascii="Arial" w:eastAsia="Times New Roman" w:hAnsi="Arial" w:cs="Arial"/>
          <w:bdr w:val="none" w:sz="0" w:space="0" w:color="auto" w:frame="1"/>
          <w:lang w:eastAsia="en-IE"/>
        </w:rPr>
        <w:t>These new appeal provisions in Sections 29 to 29F are designed to work alongside the wider admissions framework in the 2018 Act and will come into operation from 12 November 2020 onwards.</w:t>
      </w:r>
    </w:p>
    <w:p w:rsidR="00EF0A05" w:rsidRPr="004B3FE1" w:rsidRDefault="00EF0A05" w:rsidP="004A269E">
      <w:pPr>
        <w:shd w:val="clear" w:color="auto" w:fill="FFFFFF"/>
        <w:spacing w:after="0" w:line="240" w:lineRule="auto"/>
        <w:jc w:val="both"/>
        <w:textAlignment w:val="baseline"/>
        <w:rPr>
          <w:rFonts w:ascii="Arial" w:eastAsia="Times New Roman" w:hAnsi="Arial" w:cs="Arial"/>
          <w:lang w:eastAsia="en-IE"/>
        </w:rPr>
      </w:pPr>
      <w:r w:rsidRPr="004B3FE1">
        <w:rPr>
          <w:rFonts w:ascii="Arial" w:eastAsia="Times New Roman" w:hAnsi="Arial" w:cs="Arial"/>
          <w:bdr w:val="none" w:sz="0" w:space="0" w:color="auto" w:frame="1"/>
          <w:lang w:eastAsia="en-IE"/>
        </w:rPr>
        <w:br/>
      </w:r>
    </w:p>
    <w:p w:rsidR="00EF0A05" w:rsidRPr="004B3FE1" w:rsidRDefault="00EF0A05" w:rsidP="004A269E">
      <w:pPr>
        <w:shd w:val="clear" w:color="auto" w:fill="FFFFFF"/>
        <w:spacing w:after="0" w:line="240" w:lineRule="auto"/>
        <w:jc w:val="both"/>
        <w:textAlignment w:val="baseline"/>
        <w:rPr>
          <w:rFonts w:ascii="Arial" w:eastAsia="Times New Roman" w:hAnsi="Arial" w:cs="Arial"/>
          <w:lang w:eastAsia="en-IE"/>
        </w:rPr>
      </w:pPr>
      <w:r w:rsidRPr="004B3FE1">
        <w:rPr>
          <w:rFonts w:ascii="Arial" w:eastAsia="Times New Roman" w:hAnsi="Arial" w:cs="Arial"/>
          <w:bdr w:val="none" w:sz="0" w:space="0" w:color="auto" w:frame="1"/>
          <w:lang w:eastAsia="en-IE"/>
        </w:rPr>
        <w:t>Following consultation with the education partners and in accordance with section 29B of the Education Act 1998, the Minister has also determined the following procedures for appeals which will appl</w:t>
      </w:r>
      <w:r w:rsidR="00ED385B" w:rsidRPr="004B3FE1">
        <w:rPr>
          <w:rFonts w:ascii="Arial" w:eastAsia="Times New Roman" w:hAnsi="Arial" w:cs="Arial"/>
          <w:bdr w:val="none" w:sz="0" w:space="0" w:color="auto" w:frame="1"/>
          <w:lang w:eastAsia="en-IE"/>
        </w:rPr>
        <w:t>y from 12 November 2020 onwards.</w:t>
      </w:r>
    </w:p>
    <w:p w:rsidR="00EF0A05" w:rsidRPr="004B3FE1" w:rsidRDefault="00EF0A05" w:rsidP="004A269E">
      <w:pPr>
        <w:shd w:val="clear" w:color="auto" w:fill="FFFFFF"/>
        <w:spacing w:after="0" w:line="240" w:lineRule="auto"/>
        <w:jc w:val="both"/>
        <w:textAlignment w:val="baseline"/>
        <w:rPr>
          <w:rFonts w:ascii="Arial" w:eastAsia="Times New Roman" w:hAnsi="Arial" w:cs="Arial"/>
          <w:lang w:eastAsia="en-IE"/>
        </w:rPr>
      </w:pPr>
      <w:r w:rsidRPr="004B3FE1">
        <w:rPr>
          <w:rFonts w:ascii="Arial" w:eastAsia="Times New Roman" w:hAnsi="Arial" w:cs="Arial"/>
          <w:bdr w:val="none" w:sz="0" w:space="0" w:color="auto" w:frame="1"/>
          <w:lang w:eastAsia="en-IE"/>
        </w:rPr>
        <w:br/>
      </w:r>
    </w:p>
    <w:p w:rsidR="00D85F1D" w:rsidRPr="004B3FE1" w:rsidRDefault="00EF0A05" w:rsidP="004A269E">
      <w:pPr>
        <w:jc w:val="both"/>
        <w:rPr>
          <w:rFonts w:ascii="Arial" w:eastAsia="Times New Roman" w:hAnsi="Arial" w:cs="Arial"/>
          <w:b/>
          <w:bCs/>
          <w:bdr w:val="none" w:sz="0" w:space="0" w:color="auto" w:frame="1"/>
          <w:shd w:val="clear" w:color="auto" w:fill="FFFFFF"/>
          <w:lang w:eastAsia="en-IE"/>
        </w:rPr>
      </w:pPr>
      <w:r w:rsidRPr="004B3FE1">
        <w:rPr>
          <w:rFonts w:ascii="Arial" w:eastAsia="Times New Roman" w:hAnsi="Arial" w:cs="Arial"/>
          <w:bdr w:val="none" w:sz="0" w:space="0" w:color="auto" w:frame="1"/>
          <w:shd w:val="clear" w:color="auto" w:fill="FFFFFF"/>
          <w:lang w:eastAsia="en-IE"/>
        </w:rPr>
        <w:t>Enquiries regarding this circular should b</w:t>
      </w:r>
      <w:r w:rsidR="00ED385B" w:rsidRPr="004B3FE1">
        <w:rPr>
          <w:rFonts w:ascii="Arial" w:eastAsia="Times New Roman" w:hAnsi="Arial" w:cs="Arial"/>
          <w:bdr w:val="none" w:sz="0" w:space="0" w:color="auto" w:frame="1"/>
          <w:shd w:val="clear" w:color="auto" w:fill="FFFFFF"/>
          <w:lang w:eastAsia="en-IE"/>
        </w:rPr>
        <w:t xml:space="preserve">e emailed to the Department at </w:t>
      </w:r>
      <w:hyperlink r:id="rId4" w:history="1">
        <w:r w:rsidR="004B3FE1" w:rsidRPr="004B3FE1">
          <w:rPr>
            <w:rStyle w:val="Hyperlink"/>
            <w:rFonts w:ascii="Arial" w:eastAsia="Times New Roman" w:hAnsi="Arial" w:cs="Arial"/>
            <w:b/>
            <w:bCs/>
            <w:color w:val="auto"/>
            <w:bdr w:val="none" w:sz="0" w:space="0" w:color="auto" w:frame="1"/>
            <w:shd w:val="clear" w:color="auto" w:fill="FFFFFF"/>
            <w:lang w:eastAsia="en-IE"/>
          </w:rPr>
          <w:t>Section29@education.gov.ie</w:t>
        </w:r>
      </w:hyperlink>
      <w:r w:rsidR="00ED385B" w:rsidRPr="004B3FE1">
        <w:rPr>
          <w:rFonts w:ascii="Arial" w:eastAsia="Times New Roman" w:hAnsi="Arial" w:cs="Arial"/>
          <w:b/>
          <w:bCs/>
          <w:bdr w:val="none" w:sz="0" w:space="0" w:color="auto" w:frame="1"/>
          <w:shd w:val="clear" w:color="auto" w:fill="FFFFFF"/>
          <w:lang w:eastAsia="en-IE"/>
        </w:rPr>
        <w:t>.</w:t>
      </w:r>
    </w:p>
    <w:p w:rsidR="004B3FE1" w:rsidRPr="004B3FE1" w:rsidRDefault="004B3FE1" w:rsidP="004A269E">
      <w:pPr>
        <w:jc w:val="both"/>
        <w:rPr>
          <w:rFonts w:ascii="Arial" w:eastAsia="Times New Roman" w:hAnsi="Arial" w:cs="Arial"/>
          <w:b/>
          <w:bCs/>
          <w:bdr w:val="none" w:sz="0" w:space="0" w:color="auto" w:frame="1"/>
          <w:shd w:val="clear" w:color="auto" w:fill="FFFFFF"/>
          <w:lang w:eastAsia="en-IE"/>
        </w:rPr>
      </w:pPr>
    </w:p>
    <w:p w:rsidR="004B3FE1" w:rsidRPr="004B3FE1" w:rsidRDefault="004B3FE1" w:rsidP="00C83B29">
      <w:pPr>
        <w:rPr>
          <w:rFonts w:ascii="Arial" w:hAnsi="Arial" w:cs="Arial"/>
        </w:rPr>
      </w:pPr>
      <w:hyperlink r:id="rId5" w:tgtFrame="_blank" w:history="1">
        <w:r w:rsidRPr="004B3FE1">
          <w:rPr>
            <w:rFonts w:ascii="Arial" w:hAnsi="Arial" w:cs="Arial"/>
            <w:b/>
            <w:bCs/>
            <w:u w:val="single"/>
            <w:bdr w:val="none" w:sz="0" w:space="0" w:color="auto" w:frame="1"/>
            <w:shd w:val="clear" w:color="auto" w:fill="FFFFFF"/>
          </w:rPr>
          <w:t>https://www.education.ie/en/Parents/Services/Appeal-against-Permanent-Exclusion-Suspension-or-Refusal-to-Enrol/</w:t>
        </w:r>
      </w:hyperlink>
      <w:bookmarkEnd w:id="0"/>
    </w:p>
    <w:sectPr w:rsidR="004B3FE1" w:rsidRPr="004B3F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05"/>
    <w:rsid w:val="004A269E"/>
    <w:rsid w:val="004B3FE1"/>
    <w:rsid w:val="00C83B29"/>
    <w:rsid w:val="00D85F1D"/>
    <w:rsid w:val="00ED385B"/>
    <w:rsid w:val="00EF0A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EF32"/>
  <w15:chartTrackingRefBased/>
  <w15:docId w15:val="{40C58070-98F4-41FF-9678-E3E7F999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F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281034">
      <w:bodyDiv w:val="1"/>
      <w:marLeft w:val="0"/>
      <w:marRight w:val="0"/>
      <w:marTop w:val="0"/>
      <w:marBottom w:val="0"/>
      <w:divBdr>
        <w:top w:val="none" w:sz="0" w:space="0" w:color="auto"/>
        <w:left w:val="none" w:sz="0" w:space="0" w:color="auto"/>
        <w:bottom w:val="none" w:sz="0" w:space="0" w:color="auto"/>
        <w:right w:val="none" w:sz="0" w:space="0" w:color="auto"/>
      </w:divBdr>
      <w:divsChild>
        <w:div w:id="273175581">
          <w:marLeft w:val="0"/>
          <w:marRight w:val="0"/>
          <w:marTop w:val="0"/>
          <w:marBottom w:val="0"/>
          <w:divBdr>
            <w:top w:val="none" w:sz="0" w:space="0" w:color="auto"/>
            <w:left w:val="none" w:sz="0" w:space="0" w:color="auto"/>
            <w:bottom w:val="none" w:sz="0" w:space="0" w:color="auto"/>
            <w:right w:val="none" w:sz="0" w:space="0" w:color="auto"/>
          </w:divBdr>
        </w:div>
        <w:div w:id="2087536450">
          <w:marLeft w:val="0"/>
          <w:marRight w:val="0"/>
          <w:marTop w:val="0"/>
          <w:marBottom w:val="0"/>
          <w:divBdr>
            <w:top w:val="none" w:sz="0" w:space="0" w:color="auto"/>
            <w:left w:val="none" w:sz="0" w:space="0" w:color="auto"/>
            <w:bottom w:val="none" w:sz="0" w:space="0" w:color="auto"/>
            <w:right w:val="none" w:sz="0" w:space="0" w:color="auto"/>
          </w:divBdr>
        </w:div>
        <w:div w:id="1562330979">
          <w:marLeft w:val="0"/>
          <w:marRight w:val="0"/>
          <w:marTop w:val="0"/>
          <w:marBottom w:val="0"/>
          <w:divBdr>
            <w:top w:val="none" w:sz="0" w:space="0" w:color="auto"/>
            <w:left w:val="none" w:sz="0" w:space="0" w:color="auto"/>
            <w:bottom w:val="none" w:sz="0" w:space="0" w:color="auto"/>
            <w:right w:val="none" w:sz="0" w:space="0" w:color="auto"/>
          </w:divBdr>
        </w:div>
        <w:div w:id="784883324">
          <w:marLeft w:val="0"/>
          <w:marRight w:val="0"/>
          <w:marTop w:val="0"/>
          <w:marBottom w:val="0"/>
          <w:divBdr>
            <w:top w:val="none" w:sz="0" w:space="0" w:color="auto"/>
            <w:left w:val="none" w:sz="0" w:space="0" w:color="auto"/>
            <w:bottom w:val="none" w:sz="0" w:space="0" w:color="auto"/>
            <w:right w:val="none" w:sz="0" w:space="0" w:color="auto"/>
          </w:divBdr>
        </w:div>
        <w:div w:id="1830704339">
          <w:marLeft w:val="0"/>
          <w:marRight w:val="0"/>
          <w:marTop w:val="0"/>
          <w:marBottom w:val="0"/>
          <w:divBdr>
            <w:top w:val="none" w:sz="0" w:space="0" w:color="auto"/>
            <w:left w:val="none" w:sz="0" w:space="0" w:color="auto"/>
            <w:bottom w:val="none" w:sz="0" w:space="0" w:color="auto"/>
            <w:right w:val="none" w:sz="0" w:space="0" w:color="auto"/>
          </w:divBdr>
        </w:div>
        <w:div w:id="905454364">
          <w:marLeft w:val="0"/>
          <w:marRight w:val="0"/>
          <w:marTop w:val="0"/>
          <w:marBottom w:val="0"/>
          <w:divBdr>
            <w:top w:val="none" w:sz="0" w:space="0" w:color="auto"/>
            <w:left w:val="none" w:sz="0" w:space="0" w:color="auto"/>
            <w:bottom w:val="none" w:sz="0" w:space="0" w:color="auto"/>
            <w:right w:val="none" w:sz="0" w:space="0" w:color="auto"/>
          </w:divBdr>
        </w:div>
        <w:div w:id="1755206297">
          <w:marLeft w:val="0"/>
          <w:marRight w:val="0"/>
          <w:marTop w:val="0"/>
          <w:marBottom w:val="0"/>
          <w:divBdr>
            <w:top w:val="none" w:sz="0" w:space="0" w:color="auto"/>
            <w:left w:val="none" w:sz="0" w:space="0" w:color="auto"/>
            <w:bottom w:val="none" w:sz="0" w:space="0" w:color="auto"/>
            <w:right w:val="none" w:sz="0" w:space="0" w:color="auto"/>
          </w:divBdr>
        </w:div>
        <w:div w:id="1705254419">
          <w:marLeft w:val="0"/>
          <w:marRight w:val="0"/>
          <w:marTop w:val="0"/>
          <w:marBottom w:val="0"/>
          <w:divBdr>
            <w:top w:val="none" w:sz="0" w:space="0" w:color="auto"/>
            <w:left w:val="none" w:sz="0" w:space="0" w:color="auto"/>
            <w:bottom w:val="none" w:sz="0" w:space="0" w:color="auto"/>
            <w:right w:val="none" w:sz="0" w:space="0" w:color="auto"/>
          </w:divBdr>
        </w:div>
        <w:div w:id="1580019905">
          <w:marLeft w:val="0"/>
          <w:marRight w:val="0"/>
          <w:marTop w:val="0"/>
          <w:marBottom w:val="0"/>
          <w:divBdr>
            <w:top w:val="none" w:sz="0" w:space="0" w:color="auto"/>
            <w:left w:val="none" w:sz="0" w:space="0" w:color="auto"/>
            <w:bottom w:val="none" w:sz="0" w:space="0" w:color="auto"/>
            <w:right w:val="none" w:sz="0" w:space="0" w:color="auto"/>
          </w:divBdr>
        </w:div>
        <w:div w:id="71435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ducation.ie/en/Parents/Services/Appeal-against-Permanent-Exclusion-Suspension-or-Refusal-to-Enrol/" TargetMode="External"/><Relationship Id="rId4" Type="http://schemas.openxmlformats.org/officeDocument/2006/relationships/hyperlink" Target="mailto:Section29@education.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Woods  (Corporate Services)</dc:creator>
  <cp:keywords/>
  <dc:description/>
  <cp:lastModifiedBy>Niamh Woods  (Corporate Services)</cp:lastModifiedBy>
  <cp:revision>5</cp:revision>
  <dcterms:created xsi:type="dcterms:W3CDTF">2021-01-15T21:33:00Z</dcterms:created>
  <dcterms:modified xsi:type="dcterms:W3CDTF">2021-01-19T09:36:00Z</dcterms:modified>
</cp:coreProperties>
</file>