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D5261" w14:textId="24344E26" w:rsidR="00C02AA6" w:rsidRDefault="00770338" w:rsidP="00D257F0">
      <w:pPr>
        <w:pStyle w:val="Title"/>
        <w:jc w:val="both"/>
      </w:pPr>
      <w:r w:rsidRPr="00D06C5F">
        <w:t>Hospitality</w:t>
      </w:r>
      <w:r w:rsidR="00071D4E" w:rsidRPr="00D06C5F">
        <w:t xml:space="preserve"> &amp; Gifts</w:t>
      </w:r>
      <w:r w:rsidR="00C500F9" w:rsidRPr="00D06C5F">
        <w:t xml:space="preserve"> </w:t>
      </w:r>
      <w:r w:rsidR="00F7730E" w:rsidRPr="00D06C5F">
        <w:t>P</w:t>
      </w:r>
      <w:r w:rsidR="005755B9" w:rsidRPr="00D06C5F">
        <w:t xml:space="preserve">olicy </w:t>
      </w:r>
    </w:p>
    <w:p w14:paraId="05A6BD75" w14:textId="43F7605A" w:rsidR="00DB2453" w:rsidRDefault="00DB2453" w:rsidP="00DB2453"/>
    <w:p w14:paraId="04383E68" w14:textId="0D1AB610" w:rsidR="00DB2453" w:rsidRDefault="00DB2453" w:rsidP="00DB2453"/>
    <w:tbl>
      <w:tblPr>
        <w:tblpPr w:leftFromText="180" w:rightFromText="180" w:vertAnchor="text" w:horzAnchor="page" w:tblpX="2178" w:tblpY="168"/>
        <w:tblW w:w="8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0"/>
        <w:gridCol w:w="4732"/>
      </w:tblGrid>
      <w:tr w:rsidR="00DB2453" w:rsidRPr="008A7BAA" w14:paraId="07C824FA" w14:textId="77777777" w:rsidTr="007A2130">
        <w:tc>
          <w:tcPr>
            <w:tcW w:w="3570" w:type="dxa"/>
            <w:shd w:val="clear" w:color="auto" w:fill="auto"/>
          </w:tcPr>
          <w:p w14:paraId="021CABD6" w14:textId="77777777" w:rsidR="00DB2453" w:rsidRPr="008A7BAA" w:rsidRDefault="00DB2453" w:rsidP="007A2130">
            <w:pPr>
              <w:pStyle w:val="c1"/>
              <w:tabs>
                <w:tab w:val="left" w:pos="600"/>
                <w:tab w:val="left" w:pos="3828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5D52C896">
              <w:rPr>
                <w:rFonts w:ascii="Arial" w:eastAsia="Arial" w:hAnsi="Arial" w:cs="Arial"/>
                <w:sz w:val="20"/>
                <w:szCs w:val="20"/>
              </w:rPr>
              <w:t xml:space="preserve">Version number </w:t>
            </w:r>
          </w:p>
        </w:tc>
        <w:tc>
          <w:tcPr>
            <w:tcW w:w="4732" w:type="dxa"/>
            <w:shd w:val="clear" w:color="auto" w:fill="auto"/>
          </w:tcPr>
          <w:p w14:paraId="20F8E724" w14:textId="77777777" w:rsidR="00DB2453" w:rsidRPr="008A7BAA" w:rsidRDefault="00DB2453" w:rsidP="007A2130">
            <w:pPr>
              <w:pStyle w:val="c1"/>
              <w:tabs>
                <w:tab w:val="left" w:pos="600"/>
                <w:tab w:val="left" w:pos="3828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DB2453" w:rsidRPr="008A7BAA" w14:paraId="534AF43D" w14:textId="77777777" w:rsidTr="007A2130">
        <w:tc>
          <w:tcPr>
            <w:tcW w:w="3570" w:type="dxa"/>
            <w:shd w:val="clear" w:color="auto" w:fill="auto"/>
          </w:tcPr>
          <w:p w14:paraId="243F4D95" w14:textId="77777777" w:rsidR="00DB2453" w:rsidRPr="008A7BAA" w:rsidRDefault="00DB2453" w:rsidP="007A2130">
            <w:pPr>
              <w:pStyle w:val="c1"/>
              <w:tabs>
                <w:tab w:val="left" w:pos="600"/>
                <w:tab w:val="left" w:pos="3828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5D52C896">
              <w:rPr>
                <w:rFonts w:ascii="Arial" w:eastAsia="Arial" w:hAnsi="Arial" w:cs="Arial"/>
                <w:sz w:val="20"/>
                <w:szCs w:val="20"/>
              </w:rPr>
              <w:t xml:space="preserve">Policy drafted by </w:t>
            </w:r>
          </w:p>
        </w:tc>
        <w:tc>
          <w:tcPr>
            <w:tcW w:w="4732" w:type="dxa"/>
            <w:shd w:val="clear" w:color="auto" w:fill="auto"/>
          </w:tcPr>
          <w:p w14:paraId="2B9020E6" w14:textId="5E7E99D0" w:rsidR="00DB2453" w:rsidRPr="008A7BAA" w:rsidRDefault="00DB2453" w:rsidP="007A2130">
            <w:pPr>
              <w:pStyle w:val="c1"/>
              <w:tabs>
                <w:tab w:val="left" w:pos="600"/>
                <w:tab w:val="left" w:pos="3828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Finance</w:t>
            </w:r>
          </w:p>
        </w:tc>
      </w:tr>
      <w:tr w:rsidR="00E0645C" w:rsidRPr="008A7BAA" w14:paraId="32CDC25B" w14:textId="77777777" w:rsidTr="007A2130">
        <w:tc>
          <w:tcPr>
            <w:tcW w:w="3570" w:type="dxa"/>
            <w:shd w:val="clear" w:color="auto" w:fill="auto"/>
          </w:tcPr>
          <w:p w14:paraId="7D88BC72" w14:textId="77777777" w:rsidR="00E0645C" w:rsidRPr="008A7BAA" w:rsidRDefault="00E0645C" w:rsidP="00E0645C">
            <w:pPr>
              <w:pStyle w:val="c1"/>
              <w:tabs>
                <w:tab w:val="left" w:pos="600"/>
                <w:tab w:val="left" w:pos="3828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oBack" w:colFirst="1" w:colLast="1"/>
            <w:r w:rsidRPr="5D52C896">
              <w:rPr>
                <w:rFonts w:ascii="Arial" w:eastAsia="Arial" w:hAnsi="Arial" w:cs="Arial"/>
                <w:sz w:val="20"/>
                <w:szCs w:val="20"/>
              </w:rPr>
              <w:t xml:space="preserve">Approved by </w:t>
            </w:r>
            <w:r>
              <w:rPr>
                <w:rFonts w:ascii="Arial" w:eastAsia="Arial" w:hAnsi="Arial" w:cs="Arial"/>
                <w:sz w:val="20"/>
                <w:szCs w:val="20"/>
              </w:rPr>
              <w:t>Executive</w:t>
            </w:r>
            <w:r w:rsidRPr="5D52C896">
              <w:rPr>
                <w:rFonts w:ascii="Arial" w:eastAsia="Arial" w:hAnsi="Arial" w:cs="Arial"/>
                <w:sz w:val="20"/>
                <w:szCs w:val="20"/>
              </w:rPr>
              <w:t xml:space="preserve"> on</w:t>
            </w:r>
          </w:p>
        </w:tc>
        <w:tc>
          <w:tcPr>
            <w:tcW w:w="4732" w:type="dxa"/>
            <w:shd w:val="clear" w:color="auto" w:fill="auto"/>
          </w:tcPr>
          <w:p w14:paraId="01B25E06" w14:textId="46090F38" w:rsidR="00E0645C" w:rsidRPr="008A7BAA" w:rsidRDefault="00E0645C" w:rsidP="00E0645C">
            <w:pPr>
              <w:pStyle w:val="c1"/>
              <w:tabs>
                <w:tab w:val="left" w:pos="600"/>
                <w:tab w:val="left" w:pos="3828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January 2021</w:t>
            </w:r>
          </w:p>
        </w:tc>
      </w:tr>
      <w:tr w:rsidR="00E0645C" w:rsidRPr="008A7BAA" w14:paraId="6392F97A" w14:textId="77777777" w:rsidTr="007A2130">
        <w:tc>
          <w:tcPr>
            <w:tcW w:w="3570" w:type="dxa"/>
            <w:shd w:val="clear" w:color="auto" w:fill="auto"/>
          </w:tcPr>
          <w:p w14:paraId="1AA5DD0D" w14:textId="77777777" w:rsidR="00E0645C" w:rsidRPr="008A7BAA" w:rsidRDefault="00E0645C" w:rsidP="00E0645C">
            <w:pPr>
              <w:pStyle w:val="c1"/>
              <w:tabs>
                <w:tab w:val="left" w:pos="600"/>
                <w:tab w:val="left" w:pos="3828"/>
              </w:tabs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5D52C896">
              <w:rPr>
                <w:rFonts w:ascii="Arial" w:eastAsia="Arial" w:hAnsi="Arial" w:cs="Arial"/>
                <w:sz w:val="20"/>
                <w:szCs w:val="20"/>
              </w:rPr>
              <w:t xml:space="preserve">Date on which it became operational </w:t>
            </w:r>
          </w:p>
        </w:tc>
        <w:tc>
          <w:tcPr>
            <w:tcW w:w="4732" w:type="dxa"/>
            <w:shd w:val="clear" w:color="auto" w:fill="auto"/>
          </w:tcPr>
          <w:p w14:paraId="681E0AD8" w14:textId="77126B09" w:rsidR="00E0645C" w:rsidRPr="008A7BAA" w:rsidRDefault="00E0645C" w:rsidP="00E0645C">
            <w:pPr>
              <w:pStyle w:val="c1"/>
              <w:tabs>
                <w:tab w:val="left" w:pos="600"/>
                <w:tab w:val="left" w:pos="3828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January 2021</w:t>
            </w:r>
          </w:p>
        </w:tc>
      </w:tr>
      <w:tr w:rsidR="00E0645C" w:rsidRPr="008A7BAA" w14:paraId="01B88B80" w14:textId="77777777" w:rsidTr="007A2130">
        <w:tc>
          <w:tcPr>
            <w:tcW w:w="3570" w:type="dxa"/>
            <w:shd w:val="clear" w:color="auto" w:fill="auto"/>
          </w:tcPr>
          <w:p w14:paraId="1879A493" w14:textId="77777777" w:rsidR="00E0645C" w:rsidRPr="008A7BAA" w:rsidRDefault="00E0645C" w:rsidP="00E0645C">
            <w:pPr>
              <w:pStyle w:val="c1"/>
              <w:tabs>
                <w:tab w:val="left" w:pos="600"/>
                <w:tab w:val="left" w:pos="3828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5D52C896">
              <w:rPr>
                <w:rFonts w:ascii="Arial" w:eastAsia="Arial" w:hAnsi="Arial" w:cs="Arial"/>
                <w:sz w:val="20"/>
                <w:szCs w:val="20"/>
              </w:rPr>
              <w:t xml:space="preserve">Next review date </w:t>
            </w:r>
          </w:p>
        </w:tc>
        <w:tc>
          <w:tcPr>
            <w:tcW w:w="4732" w:type="dxa"/>
            <w:shd w:val="clear" w:color="auto" w:fill="auto"/>
          </w:tcPr>
          <w:p w14:paraId="0DAB5A6C" w14:textId="7C5C4790" w:rsidR="00E0645C" w:rsidRPr="008A7BAA" w:rsidRDefault="00E0645C" w:rsidP="00E0645C">
            <w:pPr>
              <w:pStyle w:val="c1"/>
              <w:tabs>
                <w:tab w:val="left" w:pos="600"/>
                <w:tab w:val="left" w:pos="3828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January 2022</w:t>
            </w:r>
          </w:p>
        </w:tc>
      </w:tr>
      <w:bookmarkEnd w:id="0"/>
    </w:tbl>
    <w:p w14:paraId="54C74812" w14:textId="66A69C44" w:rsidR="00DB2453" w:rsidRDefault="00DB2453" w:rsidP="00DB2453"/>
    <w:p w14:paraId="20C5BFFC" w14:textId="6ED66172" w:rsidR="00DB2453" w:rsidRDefault="00DB2453" w:rsidP="00DB2453"/>
    <w:p w14:paraId="3165577D" w14:textId="28307633" w:rsidR="00DB2453" w:rsidRDefault="00DB2453" w:rsidP="00DB2453"/>
    <w:p w14:paraId="663343B7" w14:textId="77777777" w:rsidR="00DB2453" w:rsidRPr="00DB2453" w:rsidRDefault="00DB2453" w:rsidP="00DB2453"/>
    <w:p w14:paraId="0E6E419C" w14:textId="77777777" w:rsidR="00C02AA6" w:rsidRPr="00D06C5F" w:rsidRDefault="005755B9" w:rsidP="00D257F0">
      <w:pPr>
        <w:pStyle w:val="Heading1"/>
        <w:jc w:val="both"/>
      </w:pPr>
      <w:r w:rsidRPr="00D06C5F">
        <w:t>Purpose</w:t>
      </w:r>
    </w:p>
    <w:p w14:paraId="36D7C681" w14:textId="7F47E4D1" w:rsidR="00F7730E" w:rsidRPr="00D06C5F" w:rsidRDefault="00F7730E" w:rsidP="00A55C84">
      <w:pPr>
        <w:jc w:val="both"/>
      </w:pPr>
      <w:r w:rsidRPr="00D06C5F">
        <w:t xml:space="preserve">The provision of hospitality can result in significant benefits to </w:t>
      </w:r>
      <w:sdt>
        <w:sdtPr>
          <w:alias w:val="Keywords"/>
          <w:tag w:val=""/>
          <w:id w:val="1197115902"/>
          <w:placeholder>
            <w:docPart w:val="EE6C91ABB20044108864A019F6F3E8C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06C5F" w:rsidRPr="00D06C5F">
            <w:t>Dublin &amp; Dun Laoghaire Education &amp; Training Board (DDLETB)</w:t>
          </w:r>
        </w:sdtContent>
      </w:sdt>
      <w:r w:rsidRPr="00D06C5F">
        <w:t xml:space="preserve"> E</w:t>
      </w:r>
      <w:r w:rsidR="006F5D19" w:rsidRPr="00D06C5F">
        <w:t xml:space="preserve">ducation &amp; Training Board </w:t>
      </w:r>
      <w:r w:rsidRPr="00D06C5F">
        <w:t xml:space="preserve">and it is appropriate and necessary </w:t>
      </w:r>
      <w:r w:rsidR="006F5D19" w:rsidRPr="00D06C5F">
        <w:t>circumstances</w:t>
      </w:r>
      <w:r w:rsidRPr="00D06C5F">
        <w:t>.  In line with best practice</w:t>
      </w:r>
      <w:r w:rsidR="00D06C5F" w:rsidRPr="00D06C5F">
        <w:t xml:space="preserve"> DDL</w:t>
      </w:r>
      <w:r w:rsidRPr="00D06C5F">
        <w:t xml:space="preserve">ETB seeks to manage these necessary expenses in an open and transparent manner to ensure value for money and safeguarding the use of public funds. </w:t>
      </w:r>
      <w:r w:rsidR="0071403F" w:rsidRPr="00D06C5F">
        <w:t xml:space="preserve">Therefore, the </w:t>
      </w:r>
      <w:r w:rsidRPr="00D06C5F">
        <w:t xml:space="preserve">purpose </w:t>
      </w:r>
      <w:r w:rsidR="0071403F" w:rsidRPr="00D06C5F">
        <w:t>o</w:t>
      </w:r>
      <w:r w:rsidRPr="00D06C5F">
        <w:t>f this policy is to:</w:t>
      </w:r>
    </w:p>
    <w:p w14:paraId="0EE70B9F" w14:textId="77777777" w:rsidR="00F7730E" w:rsidRPr="00D06C5F" w:rsidRDefault="00F7730E" w:rsidP="00A55C84">
      <w:pPr>
        <w:numPr>
          <w:ilvl w:val="0"/>
          <w:numId w:val="19"/>
        </w:numPr>
        <w:spacing w:after="40" w:line="240" w:lineRule="auto"/>
        <w:jc w:val="both"/>
        <w:rPr>
          <w:lang w:val="en"/>
        </w:rPr>
      </w:pPr>
      <w:r w:rsidRPr="00D06C5F">
        <w:rPr>
          <w:lang w:val="en"/>
        </w:rPr>
        <w:t>Ensure consistency and transparency in relation to expenditure on H</w:t>
      </w:r>
      <w:r w:rsidR="00652B1E" w:rsidRPr="00D06C5F">
        <w:rPr>
          <w:lang w:val="en"/>
        </w:rPr>
        <w:t>ospitality.</w:t>
      </w:r>
    </w:p>
    <w:p w14:paraId="50B5948C" w14:textId="77777777" w:rsidR="00F7730E" w:rsidRPr="00D06C5F" w:rsidRDefault="00F7730E" w:rsidP="00A55C84">
      <w:pPr>
        <w:numPr>
          <w:ilvl w:val="0"/>
          <w:numId w:val="19"/>
        </w:numPr>
        <w:spacing w:after="40" w:line="240" w:lineRule="auto"/>
        <w:jc w:val="both"/>
        <w:rPr>
          <w:lang w:val="en"/>
        </w:rPr>
      </w:pPr>
      <w:r w:rsidRPr="00D06C5F">
        <w:rPr>
          <w:lang w:val="en"/>
        </w:rPr>
        <w:t>Ensure appropriateness in the provision of H</w:t>
      </w:r>
      <w:r w:rsidR="00652B1E" w:rsidRPr="00D06C5F">
        <w:rPr>
          <w:lang w:val="en"/>
        </w:rPr>
        <w:t>ospitality.</w:t>
      </w:r>
    </w:p>
    <w:p w14:paraId="6110AB21" w14:textId="77777777" w:rsidR="00F7730E" w:rsidRPr="00D06C5F" w:rsidRDefault="00F7730E" w:rsidP="00A55C84">
      <w:pPr>
        <w:numPr>
          <w:ilvl w:val="0"/>
          <w:numId w:val="19"/>
        </w:numPr>
        <w:spacing w:after="40" w:line="240" w:lineRule="auto"/>
        <w:jc w:val="both"/>
        <w:rPr>
          <w:lang w:val="en"/>
        </w:rPr>
      </w:pPr>
      <w:r w:rsidRPr="00D06C5F">
        <w:rPr>
          <w:lang w:val="en"/>
        </w:rPr>
        <w:t xml:space="preserve">Guide and protect the claimant and </w:t>
      </w:r>
      <w:proofErr w:type="spellStart"/>
      <w:r w:rsidRPr="00D06C5F">
        <w:t>authoriser</w:t>
      </w:r>
      <w:proofErr w:type="spellEnd"/>
      <w:r w:rsidRPr="00D06C5F">
        <w:rPr>
          <w:lang w:val="en"/>
        </w:rPr>
        <w:t xml:space="preserve"> through the provision of broad principles and a more detailed code of conduct.</w:t>
      </w:r>
    </w:p>
    <w:p w14:paraId="5781FCE2" w14:textId="77777777" w:rsidR="005755B9" w:rsidRPr="00D06C5F" w:rsidRDefault="005755B9" w:rsidP="00A55C84">
      <w:pPr>
        <w:pStyle w:val="Heading1"/>
        <w:jc w:val="both"/>
      </w:pPr>
      <w:r w:rsidRPr="00D06C5F">
        <w:t>Scope</w:t>
      </w:r>
    </w:p>
    <w:p w14:paraId="30CF5985" w14:textId="01ABB817" w:rsidR="00A55C84" w:rsidRPr="00D06C5F" w:rsidRDefault="00FC66F2" w:rsidP="00A55C84">
      <w:pPr>
        <w:jc w:val="both"/>
      </w:pPr>
      <w:r w:rsidRPr="00D06C5F">
        <w:t>H</w:t>
      </w:r>
      <w:r w:rsidR="00652B1E" w:rsidRPr="00D06C5F">
        <w:t xml:space="preserve">ospitality </w:t>
      </w:r>
      <w:r w:rsidR="0049245B" w:rsidRPr="00D06C5F">
        <w:t xml:space="preserve">&amp; Gifts (H&amp;G) </w:t>
      </w:r>
      <w:r w:rsidRPr="00D06C5F">
        <w:t>policy and procedures apply to all individuals, including employees, students, contractors and visitors providing hospitality on behalf of the ETB, in Ireland or abroad, and seeking reimbursement from</w:t>
      </w:r>
      <w:r w:rsidR="00473A5C" w:rsidRPr="00D06C5F">
        <w:t xml:space="preserve"> </w:t>
      </w:r>
      <w:sdt>
        <w:sdtPr>
          <w:alias w:val="Company"/>
          <w:tag w:val=""/>
          <w:id w:val="-1217506209"/>
          <w:placeholder>
            <w:docPart w:val="7A30E7D8D0884D37A66AFC5F1C803978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D06C5F" w:rsidRPr="00D06C5F">
            <w:t>DDL</w:t>
          </w:r>
        </w:sdtContent>
      </w:sdt>
      <w:r w:rsidR="006F5D19" w:rsidRPr="00D06C5F">
        <w:t xml:space="preserve">ETB </w:t>
      </w:r>
      <w:r w:rsidRPr="00D06C5F">
        <w:t>regardless of the funding source (core, self-financing etc.).</w:t>
      </w:r>
      <w:r w:rsidR="00770338" w:rsidRPr="00D06C5F">
        <w:t xml:space="preserve"> </w:t>
      </w:r>
    </w:p>
    <w:p w14:paraId="1DAA20FB" w14:textId="77777777" w:rsidR="00FC66F2" w:rsidRPr="00D06C5F" w:rsidRDefault="001F4527" w:rsidP="00A55C84">
      <w:pPr>
        <w:jc w:val="both"/>
      </w:pPr>
      <w:r w:rsidRPr="00D06C5F">
        <w:t xml:space="preserve">It also includes guidelines on gifts/ tokens </w:t>
      </w:r>
      <w:r w:rsidR="00EA6070" w:rsidRPr="00D06C5F">
        <w:t xml:space="preserve">of appreciation. </w:t>
      </w:r>
    </w:p>
    <w:p w14:paraId="489ED6B5" w14:textId="77777777" w:rsidR="009C5B9E" w:rsidRPr="00D06C5F" w:rsidRDefault="00EA6070" w:rsidP="009C5B9E">
      <w:pPr>
        <w:jc w:val="both"/>
      </w:pPr>
      <w:r w:rsidRPr="00D06C5F">
        <w:t xml:space="preserve">It does not include attendance by Members and/or Officers at functions associated with training courses or conferences.    Expenditure at such events is subject to approval of the Board’s/DES normal Travel and Subsistence Rates in a separate Travel policy. </w:t>
      </w:r>
    </w:p>
    <w:p w14:paraId="722B3C21" w14:textId="10D4A3DC" w:rsidR="009C5B9E" w:rsidRPr="00D06C5F" w:rsidRDefault="009C5B9E" w:rsidP="009C5B9E">
      <w:pPr>
        <w:jc w:val="both"/>
      </w:pPr>
      <w:r w:rsidRPr="00D06C5F">
        <w:t xml:space="preserve">Receipt of gifts is comprehended by the ETB Code of Ethics </w:t>
      </w:r>
    </w:p>
    <w:p w14:paraId="38CB11B4" w14:textId="77777777" w:rsidR="005755B9" w:rsidRPr="00D06C5F" w:rsidRDefault="005755B9" w:rsidP="00A55C84">
      <w:pPr>
        <w:pStyle w:val="Heading1"/>
        <w:jc w:val="both"/>
      </w:pPr>
      <w:r w:rsidRPr="00D06C5F">
        <w:lastRenderedPageBreak/>
        <w:t>Definitions</w:t>
      </w:r>
    </w:p>
    <w:p w14:paraId="617307B9" w14:textId="039525D2" w:rsidR="00A55C84" w:rsidRPr="00D06C5F" w:rsidRDefault="00473A5C" w:rsidP="00A55C84">
      <w:pPr>
        <w:jc w:val="both"/>
        <w:rPr>
          <w:iCs/>
          <w:lang w:val="en"/>
        </w:rPr>
      </w:pPr>
      <w:r w:rsidRPr="00D06C5F">
        <w:rPr>
          <w:lang w:val="en"/>
        </w:rPr>
        <w:t>For</w:t>
      </w:r>
      <w:r w:rsidR="00FC66F2" w:rsidRPr="00D06C5F">
        <w:rPr>
          <w:lang w:val="en"/>
        </w:rPr>
        <w:t xml:space="preserve"> this policy, H</w:t>
      </w:r>
      <w:r w:rsidRPr="00D06C5F">
        <w:rPr>
          <w:lang w:val="en"/>
        </w:rPr>
        <w:t>ospitality r</w:t>
      </w:r>
      <w:r w:rsidR="00FC66F2" w:rsidRPr="00D06C5F">
        <w:rPr>
          <w:lang w:val="en"/>
        </w:rPr>
        <w:t xml:space="preserve">efers to </w:t>
      </w:r>
      <w:r w:rsidR="00FC66F2" w:rsidRPr="00D06C5F">
        <w:rPr>
          <w:b/>
          <w:lang w:val="en"/>
        </w:rPr>
        <w:t>m</w:t>
      </w:r>
      <w:r w:rsidR="00FC66F2" w:rsidRPr="00D06C5F">
        <w:rPr>
          <w:b/>
          <w:iCs/>
          <w:lang w:val="en"/>
        </w:rPr>
        <w:t>eals, beverages, light refreshments and entertainment of any type provided out of public funds held</w:t>
      </w:r>
      <w:r w:rsidR="00FC66F2" w:rsidRPr="00D06C5F">
        <w:rPr>
          <w:iCs/>
          <w:lang w:val="en"/>
        </w:rPr>
        <w:t xml:space="preserve"> </w:t>
      </w:r>
      <w:r w:rsidR="00FC66F2" w:rsidRPr="00D06C5F">
        <w:rPr>
          <w:b/>
          <w:iCs/>
          <w:lang w:val="en"/>
        </w:rPr>
        <w:t>by</w:t>
      </w:r>
      <w:r w:rsidR="00FC66F2" w:rsidRPr="00D06C5F">
        <w:rPr>
          <w:iCs/>
          <w:lang w:val="en"/>
        </w:rPr>
        <w:t xml:space="preserve"> </w:t>
      </w:r>
      <w:sdt>
        <w:sdtPr>
          <w:rPr>
            <w:b/>
            <w:iCs/>
            <w:lang w:val="en"/>
          </w:rPr>
          <w:alias w:val="Keywords"/>
          <w:tag w:val=""/>
          <w:id w:val="1491370953"/>
          <w:placeholder>
            <w:docPart w:val="291A7648453640D3ABB9CBD60D38472E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06C5F" w:rsidRPr="00D06C5F">
            <w:rPr>
              <w:b/>
              <w:iCs/>
              <w:lang w:val="en"/>
            </w:rPr>
            <w:t>Dublin &amp; Dun Laoghaire Education &amp; Training Board (DDLETB)</w:t>
          </w:r>
        </w:sdtContent>
      </w:sdt>
      <w:r w:rsidR="0071403F" w:rsidRPr="00D06C5F">
        <w:rPr>
          <w:b/>
          <w:iCs/>
          <w:lang w:val="en"/>
        </w:rPr>
        <w:t xml:space="preserve"> </w:t>
      </w:r>
      <w:r w:rsidR="00FC66F2" w:rsidRPr="00D06C5F">
        <w:rPr>
          <w:b/>
          <w:iCs/>
          <w:lang w:val="en"/>
        </w:rPr>
        <w:t>ETB</w:t>
      </w:r>
      <w:r w:rsidR="00A55C84" w:rsidRPr="00D06C5F">
        <w:rPr>
          <w:b/>
          <w:iCs/>
          <w:lang w:val="en"/>
        </w:rPr>
        <w:t xml:space="preserve">. </w:t>
      </w:r>
      <w:r w:rsidR="00770338" w:rsidRPr="00D06C5F">
        <w:rPr>
          <w:iCs/>
          <w:lang w:val="en"/>
        </w:rPr>
        <w:t xml:space="preserve">The following items are </w:t>
      </w:r>
      <w:r w:rsidR="00770338" w:rsidRPr="00D06C5F">
        <w:rPr>
          <w:b/>
          <w:iCs/>
          <w:u w:val="single"/>
          <w:lang w:val="en"/>
        </w:rPr>
        <w:t>not</w:t>
      </w:r>
      <w:r w:rsidR="00770338" w:rsidRPr="00D06C5F">
        <w:rPr>
          <w:iCs/>
          <w:lang w:val="en"/>
        </w:rPr>
        <w:t xml:space="preserve"> considered to fall within the definition of </w:t>
      </w:r>
      <w:r w:rsidR="00BF2B83" w:rsidRPr="00D06C5F">
        <w:rPr>
          <w:iCs/>
          <w:lang w:val="en"/>
        </w:rPr>
        <w:t>H</w:t>
      </w:r>
      <w:r w:rsidRPr="00D06C5F">
        <w:rPr>
          <w:iCs/>
          <w:lang w:val="en"/>
        </w:rPr>
        <w:t>ospitality</w:t>
      </w:r>
      <w:r w:rsidR="00BF2B83" w:rsidRPr="00D06C5F">
        <w:rPr>
          <w:iCs/>
          <w:lang w:val="en"/>
        </w:rPr>
        <w:t xml:space="preserve">: </w:t>
      </w:r>
    </w:p>
    <w:p w14:paraId="14FC1C2D" w14:textId="77777777" w:rsidR="00770338" w:rsidRPr="00D06C5F" w:rsidRDefault="00770338" w:rsidP="00A55C84">
      <w:pPr>
        <w:pStyle w:val="ListParagraph"/>
        <w:numPr>
          <w:ilvl w:val="0"/>
          <w:numId w:val="26"/>
        </w:numPr>
        <w:jc w:val="both"/>
        <w:rPr>
          <w:lang w:val="en"/>
        </w:rPr>
      </w:pPr>
      <w:r w:rsidRPr="00D06C5F">
        <w:rPr>
          <w:lang w:val="en"/>
        </w:rPr>
        <w:t>Meals and/or refreshments offered as an integral part of a formal Board, committee or staff meeting or training event</w:t>
      </w:r>
    </w:p>
    <w:p w14:paraId="26D1A744" w14:textId="2C6C181B" w:rsidR="00770338" w:rsidRPr="00D06C5F" w:rsidRDefault="00B322E9" w:rsidP="00A55C84">
      <w:pPr>
        <w:pStyle w:val="ListParagraph"/>
        <w:numPr>
          <w:ilvl w:val="0"/>
          <w:numId w:val="26"/>
        </w:numPr>
        <w:jc w:val="both"/>
        <w:rPr>
          <w:lang w:val="en"/>
        </w:rPr>
      </w:pPr>
      <w:r w:rsidRPr="00D06C5F">
        <w:rPr>
          <w:lang w:val="en"/>
        </w:rPr>
        <w:t xml:space="preserve">Light refreshments </w:t>
      </w:r>
      <w:r w:rsidR="00770338" w:rsidRPr="00D06C5F">
        <w:rPr>
          <w:lang w:val="en"/>
        </w:rPr>
        <w:t>provided as a social courtesy to</w:t>
      </w:r>
    </w:p>
    <w:p w14:paraId="540AA907" w14:textId="77777777" w:rsidR="00770338" w:rsidRPr="00D06C5F" w:rsidRDefault="00770338" w:rsidP="00A55C84">
      <w:pPr>
        <w:pStyle w:val="ListParagraph"/>
        <w:numPr>
          <w:ilvl w:val="0"/>
          <w:numId w:val="27"/>
        </w:numPr>
        <w:jc w:val="both"/>
        <w:rPr>
          <w:lang w:val="en"/>
        </w:rPr>
      </w:pPr>
      <w:r w:rsidRPr="00D06C5F">
        <w:rPr>
          <w:lang w:val="en"/>
        </w:rPr>
        <w:t xml:space="preserve">Board members before or after a meeting of the ETB </w:t>
      </w:r>
    </w:p>
    <w:p w14:paraId="38035CC4" w14:textId="77777777" w:rsidR="00770338" w:rsidRPr="00D06C5F" w:rsidRDefault="00770338" w:rsidP="00A55C84">
      <w:pPr>
        <w:pStyle w:val="ListParagraph"/>
        <w:numPr>
          <w:ilvl w:val="0"/>
          <w:numId w:val="27"/>
        </w:numPr>
        <w:jc w:val="both"/>
        <w:rPr>
          <w:lang w:val="en"/>
        </w:rPr>
      </w:pPr>
      <w:r w:rsidRPr="00D06C5F">
        <w:rPr>
          <w:lang w:val="en"/>
        </w:rPr>
        <w:t>members of interview/selection boards in the course of their working day</w:t>
      </w:r>
    </w:p>
    <w:p w14:paraId="740AA244" w14:textId="77777777" w:rsidR="00770338" w:rsidRPr="00D06C5F" w:rsidRDefault="00770338" w:rsidP="00A55C84">
      <w:pPr>
        <w:pStyle w:val="ListParagraph"/>
        <w:numPr>
          <w:ilvl w:val="0"/>
          <w:numId w:val="27"/>
        </w:numPr>
        <w:jc w:val="both"/>
        <w:rPr>
          <w:lang w:val="en"/>
        </w:rPr>
      </w:pPr>
      <w:r w:rsidRPr="00D06C5F">
        <w:rPr>
          <w:lang w:val="en"/>
        </w:rPr>
        <w:t>participants and guests at awards/prize giving ceremonies</w:t>
      </w:r>
    </w:p>
    <w:p w14:paraId="57000D74" w14:textId="77777777" w:rsidR="00770338" w:rsidRPr="00D06C5F" w:rsidRDefault="00770338" w:rsidP="00A55C84">
      <w:pPr>
        <w:pStyle w:val="ListParagraph"/>
        <w:numPr>
          <w:ilvl w:val="0"/>
          <w:numId w:val="27"/>
        </w:numPr>
        <w:jc w:val="both"/>
        <w:rPr>
          <w:lang w:val="en"/>
        </w:rPr>
      </w:pPr>
      <w:r w:rsidRPr="00D06C5F">
        <w:rPr>
          <w:lang w:val="en"/>
        </w:rPr>
        <w:t>official visitors to ETB offices/schools/</w:t>
      </w:r>
      <w:proofErr w:type="spellStart"/>
      <w:r w:rsidRPr="00D06C5F">
        <w:rPr>
          <w:lang w:val="en"/>
        </w:rPr>
        <w:t>centres</w:t>
      </w:r>
      <w:proofErr w:type="spellEnd"/>
      <w:r w:rsidRPr="00D06C5F">
        <w:rPr>
          <w:lang w:val="en"/>
        </w:rPr>
        <w:t>.</w:t>
      </w:r>
    </w:p>
    <w:p w14:paraId="3810F3A2" w14:textId="77777777" w:rsidR="0072035D" w:rsidRPr="00D06C5F" w:rsidRDefault="0071403F" w:rsidP="00A55C84">
      <w:pPr>
        <w:pStyle w:val="Heading1"/>
        <w:jc w:val="both"/>
      </w:pPr>
      <w:r w:rsidRPr="00D06C5F">
        <w:t xml:space="preserve">Responsibilities of Claimants and </w:t>
      </w:r>
      <w:proofErr w:type="spellStart"/>
      <w:r w:rsidRPr="00D06C5F">
        <w:t>Authorisers</w:t>
      </w:r>
      <w:proofErr w:type="spellEnd"/>
    </w:p>
    <w:p w14:paraId="7D5F552E" w14:textId="77777777" w:rsidR="00CF2E8B" w:rsidRPr="00D06C5F" w:rsidRDefault="0071403F" w:rsidP="00A55C84">
      <w:pPr>
        <w:pStyle w:val="Heading2"/>
        <w:jc w:val="both"/>
        <w:rPr>
          <w:sz w:val="24"/>
        </w:rPr>
      </w:pPr>
      <w:r w:rsidRPr="00D06C5F">
        <w:rPr>
          <w:sz w:val="24"/>
        </w:rPr>
        <w:t xml:space="preserve">RESPONSIBILITY </w:t>
      </w:r>
      <w:r w:rsidR="00142E05" w:rsidRPr="00D06C5F">
        <w:rPr>
          <w:sz w:val="24"/>
        </w:rPr>
        <w:t>OF CLAIMANTS</w:t>
      </w:r>
    </w:p>
    <w:p w14:paraId="4D53C2EA" w14:textId="3099ECAE" w:rsidR="0071403F" w:rsidRPr="00D06C5F" w:rsidRDefault="0071403F" w:rsidP="00A55C84">
      <w:pPr>
        <w:jc w:val="both"/>
      </w:pPr>
      <w:r w:rsidRPr="00D06C5F">
        <w:t>It i</w:t>
      </w:r>
      <w:r w:rsidR="008668FC" w:rsidRPr="00D06C5F">
        <w:t xml:space="preserve">s the responsibility of every </w:t>
      </w:r>
      <w:r w:rsidRPr="00D06C5F">
        <w:t xml:space="preserve">ETB representative to act in a reasonable manner when entertaining on behalf of </w:t>
      </w:r>
      <w:sdt>
        <w:sdtPr>
          <w:alias w:val="Company"/>
          <w:tag w:val=""/>
          <w:id w:val="707375266"/>
          <w:placeholder>
            <w:docPart w:val="3BAD2AB4D59443A88EA60782DD84B1E8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D06C5F" w:rsidRPr="00D06C5F">
            <w:t>DDL</w:t>
          </w:r>
        </w:sdtContent>
      </w:sdt>
      <w:r w:rsidRPr="00D06C5F">
        <w:t>ETB.  Employees, students, and visitors must always take care to ensure t</w:t>
      </w:r>
      <w:r w:rsidR="008668FC" w:rsidRPr="00D06C5F">
        <w:t xml:space="preserve">hat their actions do not leave the ETB </w:t>
      </w:r>
      <w:r w:rsidRPr="00D06C5F">
        <w:t>open to questioning or potential criticism.   Expenditure on H</w:t>
      </w:r>
      <w:r w:rsidR="00473A5C" w:rsidRPr="00D06C5F">
        <w:t xml:space="preserve">ospitality </w:t>
      </w:r>
      <w:r w:rsidR="00CC5FD7" w:rsidRPr="00D06C5F">
        <w:t xml:space="preserve">&amp; Gifts </w:t>
      </w:r>
      <w:r w:rsidRPr="00D06C5F">
        <w:t>must not be excessive, and should always stand up to public scrutiny.</w:t>
      </w:r>
    </w:p>
    <w:p w14:paraId="216978EE" w14:textId="77777777" w:rsidR="008668FC" w:rsidRPr="00D06C5F" w:rsidRDefault="00CF2E8B" w:rsidP="00A55C84">
      <w:pPr>
        <w:pStyle w:val="Heading2"/>
        <w:jc w:val="both"/>
        <w:rPr>
          <w:sz w:val="24"/>
        </w:rPr>
      </w:pPr>
      <w:r w:rsidRPr="00D06C5F">
        <w:rPr>
          <w:sz w:val="24"/>
        </w:rPr>
        <w:t>R</w:t>
      </w:r>
      <w:r w:rsidR="00142E05" w:rsidRPr="00D06C5F">
        <w:rPr>
          <w:sz w:val="24"/>
        </w:rPr>
        <w:t>ESPONSIBILITY OF AUTHORISERS</w:t>
      </w:r>
    </w:p>
    <w:p w14:paraId="665107D8" w14:textId="6ACA3215" w:rsidR="00142E05" w:rsidRPr="00D06C5F" w:rsidRDefault="00142E05" w:rsidP="00A55C84">
      <w:pPr>
        <w:jc w:val="both"/>
      </w:pPr>
      <w:r w:rsidRPr="00D06C5F">
        <w:t>The Chief Executive and the Senior Management Team are responsible for ensuring the H</w:t>
      </w:r>
      <w:r w:rsidR="00473A5C" w:rsidRPr="00D06C5F">
        <w:t xml:space="preserve">ospitality </w:t>
      </w:r>
      <w:r w:rsidR="00CC5FD7" w:rsidRPr="00D06C5F">
        <w:t xml:space="preserve">&amp; Gifts </w:t>
      </w:r>
      <w:r w:rsidRPr="00D06C5F">
        <w:t>policy is comp</w:t>
      </w:r>
      <w:r w:rsidR="009C5B9E" w:rsidRPr="00D06C5F">
        <w:t xml:space="preserve">lied with, for </w:t>
      </w:r>
      <w:proofErr w:type="spellStart"/>
      <w:r w:rsidR="009C5B9E" w:rsidRPr="00D06C5F">
        <w:t>authorising</w:t>
      </w:r>
      <w:proofErr w:type="spellEnd"/>
      <w:r w:rsidR="009C5B9E" w:rsidRPr="00D06C5F">
        <w:t xml:space="preserve"> all hospitality </w:t>
      </w:r>
      <w:r w:rsidRPr="00D06C5F">
        <w:t>expense claims from their area, and for being satisfied with the necessity of the H</w:t>
      </w:r>
      <w:r w:rsidR="009C5B9E" w:rsidRPr="00D06C5F">
        <w:t>&amp;G e</w:t>
      </w:r>
      <w:r w:rsidRPr="00D06C5F">
        <w:t>xpenditure.  The expense claim must have all receipts attached.</w:t>
      </w:r>
    </w:p>
    <w:p w14:paraId="4DA6CAF3" w14:textId="7CEFDB15" w:rsidR="00142E05" w:rsidRPr="00D06C5F" w:rsidRDefault="00142E05" w:rsidP="00A55C84">
      <w:pPr>
        <w:jc w:val="both"/>
      </w:pPr>
      <w:r w:rsidRPr="00D06C5F">
        <w:t xml:space="preserve">It is important that the </w:t>
      </w:r>
      <w:proofErr w:type="spellStart"/>
      <w:r w:rsidRPr="00D06C5F">
        <w:t>authoriser</w:t>
      </w:r>
      <w:proofErr w:type="spellEnd"/>
      <w:r w:rsidRPr="00D06C5F">
        <w:t xml:space="preserve"> can satisfy him/herself, and others, that the level of hospitality offered was appropriate and reasonable and </w:t>
      </w:r>
      <w:r w:rsidR="009C5B9E" w:rsidRPr="00D06C5F">
        <w:t xml:space="preserve">not excessive.  Any H&amp;G </w:t>
      </w:r>
      <w:r w:rsidRPr="00D06C5F">
        <w:t xml:space="preserve">expenditure over </w:t>
      </w:r>
      <w:r w:rsidR="00985118" w:rsidRPr="00D06C5F">
        <w:rPr>
          <w:b/>
        </w:rPr>
        <w:t>€100</w:t>
      </w:r>
      <w:r w:rsidRPr="00D06C5F">
        <w:t xml:space="preserve"> must be pre-approved by the </w:t>
      </w:r>
      <w:proofErr w:type="spellStart"/>
      <w:r w:rsidRPr="00D06C5F">
        <w:t>authoriser</w:t>
      </w:r>
      <w:proofErr w:type="spellEnd"/>
      <w:r w:rsidRPr="00D06C5F">
        <w:t xml:space="preserve">.  It is a matter for each </w:t>
      </w:r>
      <w:proofErr w:type="spellStart"/>
      <w:r w:rsidRPr="00D06C5F">
        <w:t>authoriser</w:t>
      </w:r>
      <w:proofErr w:type="spellEnd"/>
      <w:r w:rsidRPr="00D06C5F">
        <w:t xml:space="preserve">, should they wish to set a lower pre-approval threshold within their area of responsibility.  </w:t>
      </w:r>
    </w:p>
    <w:p w14:paraId="12C4B22F" w14:textId="77777777" w:rsidR="008668FC" w:rsidRPr="00D06C5F" w:rsidRDefault="00473A5C" w:rsidP="00A55C84">
      <w:pPr>
        <w:jc w:val="both"/>
      </w:pPr>
      <w:r w:rsidRPr="00D06C5F">
        <w:t xml:space="preserve">The CE must </w:t>
      </w:r>
      <w:proofErr w:type="spellStart"/>
      <w:r w:rsidRPr="00D06C5F">
        <w:t>authorise</w:t>
      </w:r>
      <w:proofErr w:type="spellEnd"/>
      <w:r w:rsidRPr="00D06C5F">
        <w:t xml:space="preserve"> all Hospitality </w:t>
      </w:r>
      <w:r w:rsidR="00142E05" w:rsidRPr="00D06C5F">
        <w:t xml:space="preserve">expenditure by members of the Senior Management team. </w:t>
      </w:r>
    </w:p>
    <w:p w14:paraId="1EF469C0" w14:textId="77777777" w:rsidR="00F2476D" w:rsidRPr="00D06C5F" w:rsidRDefault="00142E05" w:rsidP="00A55C84">
      <w:pPr>
        <w:pStyle w:val="Heading1"/>
        <w:jc w:val="both"/>
      </w:pPr>
      <w:r w:rsidRPr="00D06C5F">
        <w:t xml:space="preserve">Guidelines </w:t>
      </w:r>
    </w:p>
    <w:p w14:paraId="2189B8D4" w14:textId="369F57D0" w:rsidR="00BF2B83" w:rsidRPr="00D06C5F" w:rsidRDefault="00BF2B83" w:rsidP="00A55C84">
      <w:pPr>
        <w:jc w:val="both"/>
      </w:pPr>
      <w:r w:rsidRPr="00D06C5F">
        <w:t xml:space="preserve">Expenditure on corporate hospitality and events is subject to the high standard of accountability and should </w:t>
      </w:r>
      <w:r w:rsidR="008345E1" w:rsidRPr="00D06C5F">
        <w:t xml:space="preserve">promote appropriate standards of conduct by </w:t>
      </w:r>
      <w:r w:rsidRPr="00D06C5F">
        <w:t xml:space="preserve">public sector employees. The guiding principles for Members and Officers to aid decision making when planning, </w:t>
      </w:r>
      <w:proofErr w:type="spellStart"/>
      <w:r w:rsidRPr="00D06C5F">
        <w:t>authorising</w:t>
      </w:r>
      <w:proofErr w:type="spellEnd"/>
      <w:r w:rsidRPr="00D06C5F">
        <w:t xml:space="preserve"> and paying such expenses are: </w:t>
      </w:r>
    </w:p>
    <w:p w14:paraId="3B845AD5" w14:textId="77777777" w:rsidR="00A55C84" w:rsidRPr="00D06C5F" w:rsidRDefault="00D46320" w:rsidP="00A55C84">
      <w:pPr>
        <w:jc w:val="both"/>
      </w:pPr>
      <w:r w:rsidRPr="00D06C5F">
        <w:rPr>
          <w:noProof/>
          <w:lang w:val="en-IE" w:eastAsia="en-IE"/>
        </w:rPr>
        <w:lastRenderedPageBreak/>
        <w:drawing>
          <wp:inline distT="0" distB="0" distL="0" distR="0" wp14:anchorId="115EA058" wp14:editId="763A0889">
            <wp:extent cx="5953125" cy="990600"/>
            <wp:effectExtent l="38100" t="38100" r="47625" b="3810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5F9D7199" w14:textId="77777777" w:rsidR="00BF2B83" w:rsidRPr="00D06C5F" w:rsidRDefault="00BF2B83" w:rsidP="00A55C84">
      <w:pPr>
        <w:pStyle w:val="ListParagraph"/>
        <w:numPr>
          <w:ilvl w:val="0"/>
          <w:numId w:val="30"/>
        </w:numPr>
        <w:jc w:val="both"/>
      </w:pPr>
      <w:r w:rsidRPr="00D06C5F">
        <w:t xml:space="preserve">Expenditure must be for business purposes only.  There must be a clear benefit for the Board’s business activities and the State; </w:t>
      </w:r>
    </w:p>
    <w:p w14:paraId="361BDAB7" w14:textId="799B8AFF" w:rsidR="00BF2B83" w:rsidRPr="00D06C5F" w:rsidRDefault="00BF2B83" w:rsidP="00A55C84">
      <w:pPr>
        <w:pStyle w:val="ListParagraph"/>
        <w:numPr>
          <w:ilvl w:val="0"/>
          <w:numId w:val="30"/>
        </w:numPr>
        <w:jc w:val="both"/>
      </w:pPr>
      <w:r w:rsidRPr="00D06C5F">
        <w:t>Expenditure must be prudent,</w:t>
      </w:r>
      <w:r w:rsidR="008345E1" w:rsidRPr="00D06C5F">
        <w:t xml:space="preserve"> display value for money and where required use </w:t>
      </w:r>
      <w:r w:rsidRPr="00D06C5F">
        <w:t xml:space="preserve">a procurement process; </w:t>
      </w:r>
    </w:p>
    <w:p w14:paraId="65A27A0A" w14:textId="77777777" w:rsidR="00BF2B83" w:rsidRPr="00D06C5F" w:rsidRDefault="00BF2B83" w:rsidP="00A55C84">
      <w:pPr>
        <w:pStyle w:val="ListParagraph"/>
        <w:numPr>
          <w:ilvl w:val="0"/>
          <w:numId w:val="30"/>
        </w:numPr>
        <w:jc w:val="both"/>
      </w:pPr>
      <w:r w:rsidRPr="00D06C5F">
        <w:t xml:space="preserve">Expenditure documentation must be available for analysis by both internal and external audit; </w:t>
      </w:r>
    </w:p>
    <w:p w14:paraId="2530D07D" w14:textId="0FDE58D1" w:rsidR="00BF2B83" w:rsidRPr="00D06C5F" w:rsidRDefault="00BF2B83" w:rsidP="00A55C84">
      <w:pPr>
        <w:pStyle w:val="ListParagraph"/>
        <w:numPr>
          <w:ilvl w:val="0"/>
          <w:numId w:val="30"/>
        </w:numPr>
        <w:jc w:val="both"/>
      </w:pPr>
      <w:r w:rsidRPr="00D06C5F">
        <w:t xml:space="preserve">It is </w:t>
      </w:r>
      <w:proofErr w:type="spellStart"/>
      <w:r w:rsidRPr="00D06C5F">
        <w:t>recognised</w:t>
      </w:r>
      <w:proofErr w:type="spellEnd"/>
      <w:r w:rsidRPr="00D06C5F">
        <w:t xml:space="preserve">, however, that the cost of attendance at business functions arranged by third parties is generally a set price per person or per ticket cost. </w:t>
      </w:r>
      <w:sdt>
        <w:sdtPr>
          <w:alias w:val="Company"/>
          <w:tag w:val=""/>
          <w:id w:val="-388031073"/>
          <w:placeholder>
            <w:docPart w:val="C91A63DEB1A349A0A178DFD31BEB578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D06C5F" w:rsidRPr="00D06C5F">
            <w:t>DDL</w:t>
          </w:r>
        </w:sdtContent>
      </w:sdt>
      <w:r w:rsidRPr="00D06C5F">
        <w:t xml:space="preserve">ETB accepts that circumstances may be outside the control of the employee in such cases.    </w:t>
      </w:r>
    </w:p>
    <w:p w14:paraId="5CBB12BE" w14:textId="77777777" w:rsidR="00BF2B83" w:rsidRPr="00D06C5F" w:rsidRDefault="00BF2B83" w:rsidP="00A55C84">
      <w:pPr>
        <w:pStyle w:val="ListParagraph"/>
        <w:numPr>
          <w:ilvl w:val="0"/>
          <w:numId w:val="30"/>
        </w:numPr>
        <w:jc w:val="both"/>
      </w:pPr>
      <w:r w:rsidRPr="00D06C5F">
        <w:t>Receipts must be submitted</w:t>
      </w:r>
    </w:p>
    <w:p w14:paraId="0FCAD9DE" w14:textId="77777777" w:rsidR="00A401F7" w:rsidRPr="00D06C5F" w:rsidRDefault="008B0EAB" w:rsidP="00A55C84">
      <w:pPr>
        <w:pStyle w:val="Heading2"/>
        <w:jc w:val="both"/>
        <w:rPr>
          <w:sz w:val="24"/>
        </w:rPr>
      </w:pPr>
      <w:r w:rsidRPr="00D06C5F">
        <w:rPr>
          <w:sz w:val="24"/>
        </w:rPr>
        <w:t xml:space="preserve">ETB BUSINESS </w:t>
      </w:r>
    </w:p>
    <w:p w14:paraId="73C5C8A0" w14:textId="504935B1" w:rsidR="008345E1" w:rsidRPr="00D06C5F" w:rsidRDefault="009C5B9E" w:rsidP="00A55C84">
      <w:pPr>
        <w:pStyle w:val="ListParagraph"/>
        <w:numPr>
          <w:ilvl w:val="0"/>
          <w:numId w:val="22"/>
        </w:numPr>
        <w:jc w:val="both"/>
      </w:pPr>
      <w:r w:rsidRPr="00D06C5F">
        <w:t xml:space="preserve">ETB employees should refer to </w:t>
      </w:r>
      <w:r w:rsidR="008345E1" w:rsidRPr="00D06C5F">
        <w:t xml:space="preserve">the ETB travel policy with regard to taxi expenses </w:t>
      </w:r>
      <w:r w:rsidR="00455374" w:rsidRPr="00D06C5F">
        <w:t xml:space="preserve">and </w:t>
      </w:r>
      <w:r w:rsidR="008345E1" w:rsidRPr="00D06C5F">
        <w:t>travel incurred in the course of ETB work</w:t>
      </w:r>
    </w:p>
    <w:p w14:paraId="03EAABE3" w14:textId="77777777" w:rsidR="00A401F7" w:rsidRPr="00D06C5F" w:rsidRDefault="008B0EAB" w:rsidP="00A55C84">
      <w:pPr>
        <w:pStyle w:val="Heading2"/>
        <w:jc w:val="both"/>
        <w:rPr>
          <w:sz w:val="24"/>
        </w:rPr>
      </w:pPr>
      <w:r w:rsidRPr="00D06C5F">
        <w:rPr>
          <w:sz w:val="24"/>
        </w:rPr>
        <w:t xml:space="preserve">DINING </w:t>
      </w:r>
    </w:p>
    <w:p w14:paraId="5CD0C33C" w14:textId="34D23523" w:rsidR="008B0EAB" w:rsidRPr="00D06C5F" w:rsidRDefault="008B0EAB" w:rsidP="00A55C84">
      <w:pPr>
        <w:pStyle w:val="ListParagraph"/>
        <w:numPr>
          <w:ilvl w:val="0"/>
          <w:numId w:val="23"/>
        </w:numPr>
        <w:jc w:val="both"/>
      </w:pPr>
      <w:r w:rsidRPr="00D06C5F">
        <w:t xml:space="preserve">Employees are strongly encouraged to conduct social events on </w:t>
      </w:r>
      <w:sdt>
        <w:sdtPr>
          <w:alias w:val="Company"/>
          <w:tag w:val=""/>
          <w:id w:val="-1524243047"/>
          <w:placeholder>
            <w:docPart w:val="A8D4A830A4AA46099E115040F5DBD3B7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D06C5F" w:rsidRPr="00D06C5F">
            <w:t>DDL</w:t>
          </w:r>
        </w:sdtContent>
      </w:sdt>
      <w:r w:rsidRPr="00D06C5F">
        <w:t xml:space="preserve">ETB property.  It is recommended that internal conference and dining facilities should be considered as a first choice for </w:t>
      </w:r>
      <w:r w:rsidR="00455374" w:rsidRPr="00D06C5F">
        <w:t>providing hospitality to g</w:t>
      </w:r>
      <w:r w:rsidRPr="00D06C5F">
        <w:t>uests, particularly when numbers are relatively small.</w:t>
      </w:r>
    </w:p>
    <w:p w14:paraId="4FDEAF3C" w14:textId="77777777" w:rsidR="008B0EAB" w:rsidRPr="00D06C5F" w:rsidRDefault="008B0EAB" w:rsidP="00A55C84">
      <w:pPr>
        <w:pStyle w:val="ListParagraph"/>
        <w:numPr>
          <w:ilvl w:val="0"/>
          <w:numId w:val="23"/>
        </w:numPr>
        <w:jc w:val="both"/>
      </w:pPr>
      <w:r w:rsidRPr="00D06C5F">
        <w:t xml:space="preserve">Otherwise, meals should be taken at the most reasonably priced restaurant fitting the occasion and, if available, a fixed or limited choice menu at a set price is recommended.  </w:t>
      </w:r>
    </w:p>
    <w:p w14:paraId="2CF573DB" w14:textId="36AC12C0" w:rsidR="008B0EAB" w:rsidRPr="00D06C5F" w:rsidRDefault="00473A5C" w:rsidP="00A55C84">
      <w:pPr>
        <w:pStyle w:val="ListParagraph"/>
        <w:numPr>
          <w:ilvl w:val="0"/>
          <w:numId w:val="23"/>
        </w:numPr>
        <w:jc w:val="both"/>
      </w:pPr>
      <w:r w:rsidRPr="00D06C5F">
        <w:t xml:space="preserve">When hosting ETB guests and </w:t>
      </w:r>
      <w:r w:rsidR="008B0EAB" w:rsidRPr="00D06C5F">
        <w:t>where H</w:t>
      </w:r>
      <w:r w:rsidRPr="00D06C5F">
        <w:t xml:space="preserve">ospitality </w:t>
      </w:r>
      <w:r w:rsidR="008B0EAB" w:rsidRPr="00D06C5F">
        <w:t xml:space="preserve">is necessary, the number of </w:t>
      </w:r>
      <w:sdt>
        <w:sdtPr>
          <w:alias w:val="Company"/>
          <w:tag w:val=""/>
          <w:id w:val="-1603023666"/>
          <w:placeholder>
            <w:docPart w:val="E0C1BCF6C4A34A01AE97F6452FA7B501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D06C5F" w:rsidRPr="00D06C5F">
            <w:t>DDL</w:t>
          </w:r>
        </w:sdtContent>
      </w:sdt>
      <w:r w:rsidR="008B0EAB" w:rsidRPr="00D06C5F">
        <w:t>ETB representatives in attendance should be kept at a minimum.</w:t>
      </w:r>
    </w:p>
    <w:p w14:paraId="5F6A50FA" w14:textId="77777777" w:rsidR="008B0EAB" w:rsidRPr="00D06C5F" w:rsidRDefault="008B0EAB" w:rsidP="00A55C84">
      <w:pPr>
        <w:pStyle w:val="ListParagraph"/>
        <w:numPr>
          <w:ilvl w:val="0"/>
          <w:numId w:val="23"/>
        </w:numPr>
        <w:jc w:val="both"/>
      </w:pPr>
      <w:r w:rsidRPr="00D06C5F">
        <w:t>Receipts for dining alone will not be reimbursed unless as part of a legitimate business trip.</w:t>
      </w:r>
    </w:p>
    <w:p w14:paraId="0CB17E69" w14:textId="77777777" w:rsidR="008B0EAB" w:rsidRPr="00D06C5F" w:rsidRDefault="008B0EAB" w:rsidP="00A55C84">
      <w:pPr>
        <w:pStyle w:val="ListParagraph"/>
        <w:numPr>
          <w:ilvl w:val="0"/>
          <w:numId w:val="23"/>
        </w:numPr>
        <w:jc w:val="both"/>
      </w:pPr>
      <w:r w:rsidRPr="00D06C5F">
        <w:t>Credit Card receipts on their own do not represent adequate audit evidence to support the expenditure incurred.  A till receipt must be provided.  All H</w:t>
      </w:r>
      <w:r w:rsidR="00473A5C" w:rsidRPr="00D06C5F">
        <w:t xml:space="preserve">ospitality </w:t>
      </w:r>
      <w:r w:rsidRPr="00D06C5F">
        <w:t>venues must provide receipts.</w:t>
      </w:r>
    </w:p>
    <w:p w14:paraId="104B31BA" w14:textId="7212D327" w:rsidR="001F4527" w:rsidRPr="00D06C5F" w:rsidRDefault="001F4527" w:rsidP="007E25BB">
      <w:pPr>
        <w:pStyle w:val="ListParagraph"/>
        <w:numPr>
          <w:ilvl w:val="0"/>
          <w:numId w:val="23"/>
        </w:numPr>
        <w:jc w:val="both"/>
        <w:rPr>
          <w:lang w:val="en-IE"/>
        </w:rPr>
      </w:pPr>
      <w:r w:rsidRPr="00D06C5F">
        <w:t>If a staff/ board member has a meal charged against official corporate expenses, that representative is not entitled to claim a</w:t>
      </w:r>
      <w:r w:rsidR="00B322E9" w:rsidRPr="00D06C5F">
        <w:t xml:space="preserve"> subsistence allowance</w:t>
      </w:r>
      <w:r w:rsidR="007E25BB" w:rsidRPr="00D06C5F">
        <w:t xml:space="preserve">.  </w:t>
      </w:r>
      <w:r w:rsidR="007E25BB" w:rsidRPr="00D06C5F">
        <w:rPr>
          <w:lang w:val="en-IE"/>
        </w:rPr>
        <w:t xml:space="preserve"> </w:t>
      </w:r>
    </w:p>
    <w:p w14:paraId="2FBF6D29" w14:textId="77777777" w:rsidR="005C70EF" w:rsidRPr="00D06C5F" w:rsidRDefault="005C70EF" w:rsidP="00A55C84">
      <w:pPr>
        <w:pStyle w:val="Heading2"/>
        <w:jc w:val="both"/>
        <w:rPr>
          <w:sz w:val="24"/>
        </w:rPr>
      </w:pPr>
      <w:r w:rsidRPr="00D06C5F">
        <w:rPr>
          <w:sz w:val="24"/>
        </w:rPr>
        <w:t>ALCOHOL</w:t>
      </w:r>
    </w:p>
    <w:p w14:paraId="5DCB8766" w14:textId="77777777" w:rsidR="007E25BB" w:rsidRPr="00D06C5F" w:rsidRDefault="007E25BB" w:rsidP="007E25BB">
      <w:pPr>
        <w:pStyle w:val="ListParagraph"/>
        <w:numPr>
          <w:ilvl w:val="0"/>
          <w:numId w:val="24"/>
        </w:numPr>
        <w:jc w:val="both"/>
      </w:pPr>
      <w:r w:rsidRPr="00D06C5F">
        <w:t xml:space="preserve">Alcohol is generally not provided at ETB functions. If required in certain circumstances advance CE Approval is required. </w:t>
      </w:r>
    </w:p>
    <w:p w14:paraId="64163529" w14:textId="77777777" w:rsidR="005C70EF" w:rsidRPr="00D06C5F" w:rsidRDefault="007E25BB" w:rsidP="00D146FC">
      <w:pPr>
        <w:pStyle w:val="ListParagraph"/>
        <w:numPr>
          <w:ilvl w:val="0"/>
          <w:numId w:val="24"/>
        </w:numPr>
        <w:jc w:val="both"/>
      </w:pPr>
      <w:r w:rsidRPr="00D06C5F">
        <w:t>D</w:t>
      </w:r>
      <w:r w:rsidR="005C70EF" w:rsidRPr="00D06C5F">
        <w:t>iscretion should be exercised in the purchase of alcohol at ETB</w:t>
      </w:r>
      <w:r w:rsidRPr="00D06C5F">
        <w:t>-</w:t>
      </w:r>
      <w:r w:rsidR="005C70EF" w:rsidRPr="00D06C5F">
        <w:t xml:space="preserve">related functions. </w:t>
      </w:r>
    </w:p>
    <w:p w14:paraId="43024F52" w14:textId="77777777" w:rsidR="005C70EF" w:rsidRPr="00D06C5F" w:rsidRDefault="005C70EF" w:rsidP="00A55C84">
      <w:pPr>
        <w:pStyle w:val="ListParagraph"/>
        <w:numPr>
          <w:ilvl w:val="0"/>
          <w:numId w:val="24"/>
        </w:numPr>
        <w:jc w:val="both"/>
      </w:pPr>
      <w:r w:rsidRPr="00D06C5F">
        <w:t>Non-alcoholic beverages should be widely available when alcohol is being served.</w:t>
      </w:r>
    </w:p>
    <w:p w14:paraId="4AA9C612" w14:textId="77777777" w:rsidR="005C70EF" w:rsidRPr="00D06C5F" w:rsidRDefault="005C70EF" w:rsidP="00A55C84">
      <w:pPr>
        <w:pStyle w:val="ListParagraph"/>
        <w:numPr>
          <w:ilvl w:val="0"/>
          <w:numId w:val="24"/>
        </w:numPr>
        <w:jc w:val="both"/>
      </w:pPr>
      <w:r w:rsidRPr="00D06C5F">
        <w:t xml:space="preserve">All ETB premises, as well as other premises that are rented or used by ETB </w:t>
      </w:r>
      <w:proofErr w:type="spellStart"/>
      <w:r w:rsidRPr="00D06C5F">
        <w:t>programmes</w:t>
      </w:r>
      <w:proofErr w:type="spellEnd"/>
      <w:r w:rsidRPr="00D06C5F">
        <w:t xml:space="preserve">, are to be alcohol free except for </w:t>
      </w:r>
      <w:proofErr w:type="spellStart"/>
      <w:r w:rsidRPr="00D06C5F">
        <w:t>authorised</w:t>
      </w:r>
      <w:proofErr w:type="spellEnd"/>
      <w:r w:rsidRPr="00D06C5F">
        <w:t xml:space="preserve"> functions. </w:t>
      </w:r>
    </w:p>
    <w:p w14:paraId="6E206CBD" w14:textId="77777777" w:rsidR="005C70EF" w:rsidRPr="00D06C5F" w:rsidRDefault="005C70EF" w:rsidP="00A55C84">
      <w:pPr>
        <w:pStyle w:val="ListParagraph"/>
        <w:numPr>
          <w:ilvl w:val="0"/>
          <w:numId w:val="24"/>
        </w:numPr>
        <w:jc w:val="both"/>
      </w:pPr>
      <w:r w:rsidRPr="00D06C5F">
        <w:lastRenderedPageBreak/>
        <w:t>No alcoholic drinks will be served at ETB events involving Under 18s</w:t>
      </w:r>
    </w:p>
    <w:p w14:paraId="6CF88472" w14:textId="77777777" w:rsidR="00EA6070" w:rsidRPr="00D06C5F" w:rsidRDefault="00EA6070" w:rsidP="00A55C84">
      <w:pPr>
        <w:pStyle w:val="Heading1"/>
        <w:jc w:val="both"/>
      </w:pPr>
      <w:r w:rsidRPr="00D06C5F">
        <w:t xml:space="preserve">Gifts and Presentations </w:t>
      </w:r>
    </w:p>
    <w:p w14:paraId="14FDF7F0" w14:textId="77777777" w:rsidR="003812C7" w:rsidRPr="00D06C5F" w:rsidRDefault="00EA6070" w:rsidP="00990491">
      <w:pPr>
        <w:jc w:val="both"/>
      </w:pPr>
      <w:r w:rsidRPr="00D06C5F">
        <w:t>The following guidelines apply to making presentations and giving gifts on behalf of the ETB</w:t>
      </w:r>
      <w:r w:rsidR="00990491" w:rsidRPr="00D06C5F">
        <w:t xml:space="preserve">. </w:t>
      </w:r>
      <w:r w:rsidR="003812C7" w:rsidRPr="00D06C5F">
        <w:t xml:space="preserve">The recommended values of gifts are </w:t>
      </w:r>
      <w:r w:rsidR="00990491" w:rsidRPr="00D06C5F">
        <w:t>between €50</w:t>
      </w:r>
      <w:r w:rsidR="003812C7" w:rsidRPr="00D06C5F">
        <w:t xml:space="preserve">-€100 and any gifts that exceed the limit of €100 will require pre-approval by the </w:t>
      </w:r>
      <w:r w:rsidR="00707638" w:rsidRPr="00D06C5F">
        <w:t>CE or their nominee</w:t>
      </w:r>
      <w:r w:rsidR="00990491" w:rsidRPr="00D06C5F">
        <w:t xml:space="preserve">. This applies to the following circumstances: </w:t>
      </w:r>
    </w:p>
    <w:p w14:paraId="6E1D62AA" w14:textId="77777777" w:rsidR="00990491" w:rsidRPr="00D06C5F" w:rsidRDefault="003A45A8" w:rsidP="005107C6">
      <w:pPr>
        <w:pStyle w:val="ListParagraph"/>
        <w:numPr>
          <w:ilvl w:val="0"/>
          <w:numId w:val="29"/>
        </w:numPr>
        <w:jc w:val="both"/>
      </w:pPr>
      <w:r w:rsidRPr="00D06C5F">
        <w:t xml:space="preserve">The </w:t>
      </w:r>
      <w:r w:rsidR="00990491" w:rsidRPr="00D06C5F">
        <w:t xml:space="preserve">purchase of a gift voucher as a token of appreciation to a guest speaker </w:t>
      </w:r>
    </w:p>
    <w:p w14:paraId="785F0199" w14:textId="77777777" w:rsidR="00990491" w:rsidRPr="00D06C5F" w:rsidRDefault="003A45A8" w:rsidP="005107C6">
      <w:pPr>
        <w:pStyle w:val="ListParagraph"/>
        <w:numPr>
          <w:ilvl w:val="0"/>
          <w:numId w:val="29"/>
        </w:numPr>
        <w:jc w:val="both"/>
      </w:pPr>
      <w:r w:rsidRPr="00D06C5F">
        <w:t xml:space="preserve">The purchase of a </w:t>
      </w:r>
      <w:r w:rsidR="00990491" w:rsidRPr="00D06C5F">
        <w:t>token gift presented to a member of staff to mark his/her retirement</w:t>
      </w:r>
      <w:r w:rsidRPr="00D06C5F">
        <w:t xml:space="preserve">. This presentation may take place </w:t>
      </w:r>
      <w:r w:rsidR="00990491" w:rsidRPr="00D06C5F">
        <w:t xml:space="preserve">once a year at a function hosted by the ETB to coincide with one of its board meetings. </w:t>
      </w:r>
    </w:p>
    <w:p w14:paraId="6FCD55DF" w14:textId="77777777" w:rsidR="00990491" w:rsidRPr="00D06C5F" w:rsidRDefault="003A45A8" w:rsidP="00990491">
      <w:pPr>
        <w:pStyle w:val="ListParagraph"/>
        <w:numPr>
          <w:ilvl w:val="0"/>
          <w:numId w:val="29"/>
        </w:numPr>
        <w:jc w:val="both"/>
      </w:pPr>
      <w:r w:rsidRPr="00D06C5F">
        <w:t xml:space="preserve">The purchase of a </w:t>
      </w:r>
      <w:r w:rsidR="00990491" w:rsidRPr="00D06C5F">
        <w:t>token gift presented to outgoing Board members when the Board’s five-year term of office expire</w:t>
      </w:r>
    </w:p>
    <w:p w14:paraId="33643FA1" w14:textId="77777777" w:rsidR="003A45A8" w:rsidRPr="00D06C5F" w:rsidRDefault="00990491" w:rsidP="00990491">
      <w:pPr>
        <w:pStyle w:val="ListParagraph"/>
        <w:numPr>
          <w:ilvl w:val="0"/>
          <w:numId w:val="29"/>
        </w:numPr>
        <w:jc w:val="both"/>
      </w:pPr>
      <w:r w:rsidRPr="00D06C5F">
        <w:t xml:space="preserve">All other gifts and presentations that are purchased out of ETB funds are subject to prior </w:t>
      </w:r>
      <w:proofErr w:type="spellStart"/>
      <w:r w:rsidRPr="00D06C5F">
        <w:t>authorisation</w:t>
      </w:r>
      <w:proofErr w:type="spellEnd"/>
      <w:r w:rsidRPr="00D06C5F">
        <w:t xml:space="preserve"> b</w:t>
      </w:r>
      <w:r w:rsidR="003A45A8" w:rsidRPr="00D06C5F">
        <w:t>y CE/Director/ Principal or Centre Manager</w:t>
      </w:r>
    </w:p>
    <w:p w14:paraId="27E9C175" w14:textId="77777777" w:rsidR="00990491" w:rsidRPr="00D06C5F" w:rsidRDefault="00990491" w:rsidP="00990491">
      <w:pPr>
        <w:pStyle w:val="ListParagraph"/>
        <w:numPr>
          <w:ilvl w:val="0"/>
          <w:numId w:val="29"/>
        </w:numPr>
        <w:jc w:val="both"/>
      </w:pPr>
      <w:r w:rsidRPr="00D06C5F">
        <w:t xml:space="preserve">Presentations that are considered personal to an individual staff or Board member are not </w:t>
      </w:r>
      <w:proofErr w:type="spellStart"/>
      <w:r w:rsidRPr="00D06C5F">
        <w:t>authorised</w:t>
      </w:r>
      <w:proofErr w:type="spellEnd"/>
      <w:r w:rsidRPr="00D06C5F">
        <w:t xml:space="preserve"> for reimbursement from ETB funds. </w:t>
      </w:r>
    </w:p>
    <w:p w14:paraId="4DAF614C" w14:textId="77777777" w:rsidR="003812C7" w:rsidRPr="00D06C5F" w:rsidRDefault="00990491" w:rsidP="003812C7">
      <w:pPr>
        <w:jc w:val="both"/>
      </w:pPr>
      <w:bookmarkStart w:id="1" w:name="_Hlk482794779"/>
      <w:r w:rsidRPr="00D06C5F">
        <w:t>R</w:t>
      </w:r>
      <w:r w:rsidR="003812C7" w:rsidRPr="00D06C5F">
        <w:t>eceipt of gifts</w:t>
      </w:r>
      <w:r w:rsidRPr="00D06C5F">
        <w:t xml:space="preserve"> is comprehended by the </w:t>
      </w:r>
      <w:r w:rsidR="003A45A8" w:rsidRPr="00D06C5F">
        <w:t xml:space="preserve">ETB Code of Ethics </w:t>
      </w:r>
    </w:p>
    <w:bookmarkEnd w:id="1"/>
    <w:p w14:paraId="5C347880" w14:textId="77777777" w:rsidR="00CF2E8B" w:rsidRPr="00D06C5F" w:rsidRDefault="005C70EF" w:rsidP="00A55C84">
      <w:pPr>
        <w:pStyle w:val="Heading1"/>
        <w:jc w:val="both"/>
      </w:pPr>
      <w:r w:rsidRPr="00D06C5F">
        <w:t xml:space="preserve">Exceptional items requiring Pre-Approval </w:t>
      </w:r>
    </w:p>
    <w:p w14:paraId="63FFA2CF" w14:textId="59B783A1" w:rsidR="005C70EF" w:rsidRPr="00D06C5F" w:rsidRDefault="005C70EF" w:rsidP="00A55C84">
      <w:pPr>
        <w:jc w:val="both"/>
      </w:pPr>
      <w:r w:rsidRPr="00D06C5F">
        <w:t xml:space="preserve">Exceptional situations may occur when it is most appropriate to </w:t>
      </w:r>
      <w:r w:rsidR="00455374" w:rsidRPr="00D06C5F">
        <w:t xml:space="preserve">provide hospitality </w:t>
      </w:r>
      <w:r w:rsidRPr="00D06C5F">
        <w:t xml:space="preserve">on behalf of </w:t>
      </w:r>
      <w:sdt>
        <w:sdtPr>
          <w:alias w:val="Keywords"/>
          <w:tag w:val=""/>
          <w:id w:val="840126350"/>
          <w:placeholder>
            <w:docPart w:val="F92E43E6A7114B9EB8A8A84F9B9D39A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06C5F" w:rsidRPr="00D06C5F">
            <w:t>Dublin &amp; Dun Laoghaire Education &amp; Training Board (DDLETB)</w:t>
          </w:r>
        </w:sdtContent>
      </w:sdt>
      <w:r w:rsidRPr="00D06C5F">
        <w:t xml:space="preserve"> E</w:t>
      </w:r>
      <w:r w:rsidR="006F5D19" w:rsidRPr="00D06C5F">
        <w:t xml:space="preserve">ducation &amp; Training Board </w:t>
      </w:r>
      <w:r w:rsidR="00B322E9" w:rsidRPr="00D06C5F">
        <w:t>at week</w:t>
      </w:r>
      <w:r w:rsidRPr="00D06C5F">
        <w:t xml:space="preserve">ends or during holiday periods. In the interests of transparency, such arrangements require the pre-approval of the </w:t>
      </w:r>
      <w:proofErr w:type="spellStart"/>
      <w:r w:rsidRPr="00D06C5F">
        <w:t>authoriser</w:t>
      </w:r>
      <w:proofErr w:type="spellEnd"/>
      <w:r w:rsidRPr="00D06C5F">
        <w:t>.</w:t>
      </w:r>
    </w:p>
    <w:p w14:paraId="6115D702" w14:textId="77777777" w:rsidR="005C70EF" w:rsidRPr="00D06C5F" w:rsidRDefault="005C70EF" w:rsidP="00A55C84">
      <w:pPr>
        <w:jc w:val="both"/>
      </w:pPr>
      <w:r w:rsidRPr="00D06C5F">
        <w:t>All information on how to process a reimbursement claim can be obtained from the Finance Department.</w:t>
      </w:r>
    </w:p>
    <w:p w14:paraId="1DE65294" w14:textId="77777777" w:rsidR="004278D2" w:rsidRPr="00D06C5F" w:rsidRDefault="001F4527" w:rsidP="00A55C84">
      <w:pPr>
        <w:pStyle w:val="Heading1"/>
        <w:jc w:val="both"/>
      </w:pPr>
      <w:r w:rsidRPr="00D06C5F">
        <w:t>R</w:t>
      </w:r>
      <w:r w:rsidR="005C70EF" w:rsidRPr="00D06C5F">
        <w:t xml:space="preserve">eporting and </w:t>
      </w:r>
      <w:r w:rsidRPr="00D06C5F">
        <w:t>A</w:t>
      </w:r>
      <w:r w:rsidR="005C70EF" w:rsidRPr="00D06C5F">
        <w:t xml:space="preserve">udit </w:t>
      </w:r>
    </w:p>
    <w:p w14:paraId="27FAABFE" w14:textId="79A08D4E" w:rsidR="005C70EF" w:rsidRPr="00D06C5F" w:rsidRDefault="009C5B9E" w:rsidP="00A55C84">
      <w:pPr>
        <w:pStyle w:val="ListParagraph"/>
        <w:numPr>
          <w:ilvl w:val="0"/>
          <w:numId w:val="25"/>
        </w:numPr>
        <w:jc w:val="both"/>
      </w:pPr>
      <w:r w:rsidRPr="00D06C5F">
        <w:t xml:space="preserve">All H&amp;G </w:t>
      </w:r>
      <w:r w:rsidR="005C70EF" w:rsidRPr="00D06C5F">
        <w:t xml:space="preserve">must be </w:t>
      </w:r>
      <w:proofErr w:type="spellStart"/>
      <w:r w:rsidR="005C70EF" w:rsidRPr="00D06C5F">
        <w:t>analysed</w:t>
      </w:r>
      <w:proofErr w:type="spellEnd"/>
      <w:r w:rsidR="005C70EF" w:rsidRPr="00D06C5F">
        <w:t xml:space="preserve"> correctly on the Reimbursement claim form and charged to the correct code. </w:t>
      </w:r>
    </w:p>
    <w:p w14:paraId="56A4F9E7" w14:textId="755BF517" w:rsidR="005C70EF" w:rsidRPr="00D06C5F" w:rsidRDefault="005C70EF" w:rsidP="00A55C84">
      <w:pPr>
        <w:pStyle w:val="ListParagraph"/>
        <w:numPr>
          <w:ilvl w:val="0"/>
          <w:numId w:val="25"/>
        </w:numPr>
        <w:jc w:val="both"/>
      </w:pPr>
      <w:r w:rsidRPr="00D06C5F">
        <w:t>All H&amp;</w:t>
      </w:r>
      <w:r w:rsidR="009C5B9E" w:rsidRPr="00D06C5F">
        <w:t>G</w:t>
      </w:r>
      <w:r w:rsidRPr="00D06C5F">
        <w:t xml:space="preserve"> claims must be approved by the CE/Director/ Principal/ Centre Manager as appropriate.</w:t>
      </w:r>
    </w:p>
    <w:p w14:paraId="1213E977" w14:textId="6A406CAF" w:rsidR="00A5284C" w:rsidRPr="00D06C5F" w:rsidRDefault="005C70EF" w:rsidP="00A55C84">
      <w:pPr>
        <w:pStyle w:val="ListParagraph"/>
        <w:numPr>
          <w:ilvl w:val="0"/>
          <w:numId w:val="25"/>
        </w:numPr>
        <w:jc w:val="both"/>
      </w:pPr>
      <w:r w:rsidRPr="00D06C5F">
        <w:t>Any invoices received from a supplier for the provision of H&amp;</w:t>
      </w:r>
      <w:r w:rsidR="009C5B9E" w:rsidRPr="00D06C5F">
        <w:t>G</w:t>
      </w:r>
      <w:r w:rsidRPr="00D06C5F">
        <w:t xml:space="preserve"> should be </w:t>
      </w:r>
      <w:proofErr w:type="spellStart"/>
      <w:r w:rsidRPr="00D06C5F">
        <w:t>authorised</w:t>
      </w:r>
      <w:proofErr w:type="spellEnd"/>
      <w:r w:rsidRPr="00D06C5F">
        <w:t xml:space="preserve"> by </w:t>
      </w:r>
      <w:r w:rsidR="00A5284C" w:rsidRPr="00D06C5F">
        <w:t>CE/Director/ Principal/ Centre Manager</w:t>
      </w:r>
      <w:r w:rsidRPr="00D06C5F">
        <w:t xml:space="preserve"> prior to submission to Creditors for payment.</w:t>
      </w:r>
    </w:p>
    <w:p w14:paraId="20F025D7" w14:textId="66520005" w:rsidR="00A5284C" w:rsidRPr="00D06C5F" w:rsidRDefault="005C70EF" w:rsidP="00A55C84">
      <w:pPr>
        <w:pStyle w:val="ListParagraph"/>
        <w:numPr>
          <w:ilvl w:val="0"/>
          <w:numId w:val="25"/>
        </w:numPr>
        <w:jc w:val="both"/>
      </w:pPr>
      <w:r w:rsidRPr="00D06C5F">
        <w:t>H&amp;</w:t>
      </w:r>
      <w:r w:rsidR="009C5B9E" w:rsidRPr="00D06C5F">
        <w:t>G</w:t>
      </w:r>
      <w:r w:rsidRPr="00D06C5F">
        <w:t xml:space="preserve"> is subject to regular audit by any o</w:t>
      </w:r>
      <w:r w:rsidR="00A5284C" w:rsidRPr="00D06C5F">
        <w:t>f the following: Internal Audit</w:t>
      </w:r>
      <w:r w:rsidRPr="00D06C5F">
        <w:t>, C &amp; AG, ESF Auditors and other external funding agencies.</w:t>
      </w:r>
    </w:p>
    <w:p w14:paraId="37E87801" w14:textId="7BB9F5CC" w:rsidR="005C70EF" w:rsidRPr="00D06C5F" w:rsidRDefault="00A5284C" w:rsidP="00A55C84">
      <w:pPr>
        <w:pStyle w:val="ListParagraph"/>
        <w:numPr>
          <w:ilvl w:val="0"/>
          <w:numId w:val="25"/>
        </w:numPr>
        <w:jc w:val="both"/>
      </w:pPr>
      <w:r w:rsidRPr="00D06C5F">
        <w:t xml:space="preserve">The CE/Director/ Principal/ Centre Manager </w:t>
      </w:r>
      <w:r w:rsidR="005C70EF" w:rsidRPr="00D06C5F">
        <w:t xml:space="preserve">will be held responsible for </w:t>
      </w:r>
      <w:proofErr w:type="spellStart"/>
      <w:r w:rsidR="005C70EF" w:rsidRPr="00D06C5F">
        <w:t>authorising</w:t>
      </w:r>
      <w:proofErr w:type="spellEnd"/>
      <w:r w:rsidR="005C70EF" w:rsidRPr="00D06C5F">
        <w:t xml:space="preserve"> any H&amp;</w:t>
      </w:r>
      <w:r w:rsidR="009C5B9E" w:rsidRPr="00D06C5F">
        <w:t>G</w:t>
      </w:r>
      <w:r w:rsidR="005C70EF" w:rsidRPr="00D06C5F">
        <w:t xml:space="preserve"> claims which are not in compliance with the H&amp;</w:t>
      </w:r>
      <w:r w:rsidR="009C5B9E" w:rsidRPr="00D06C5F">
        <w:t>G</w:t>
      </w:r>
      <w:r w:rsidR="005C70EF" w:rsidRPr="00D06C5F">
        <w:t xml:space="preserve"> policy</w:t>
      </w:r>
    </w:p>
    <w:p w14:paraId="6C50A277" w14:textId="77777777" w:rsidR="00055F1B" w:rsidRPr="00D06C5F" w:rsidRDefault="00A5284C" w:rsidP="00A55C84">
      <w:pPr>
        <w:pStyle w:val="Heading1"/>
        <w:jc w:val="both"/>
      </w:pPr>
      <w:r w:rsidRPr="00D06C5F">
        <w:lastRenderedPageBreak/>
        <w:t xml:space="preserve">implementation and review </w:t>
      </w:r>
    </w:p>
    <w:p w14:paraId="6C75A2D8" w14:textId="77777777" w:rsidR="009A1D23" w:rsidRPr="00D06C5F" w:rsidRDefault="009A1D23" w:rsidP="00A55C84">
      <w:pPr>
        <w:jc w:val="both"/>
      </w:pPr>
      <w:r w:rsidRPr="00D06C5F">
        <w:t xml:space="preserve">This policy will be reviewed tri-annually by the Senior Management Team in line with best practice, or in light of changes in legislation and guidance from sources such as Internal Audit, C&amp;AG, the Department of Education and Skills and the Department of Public Expenditure &amp; Reform. </w:t>
      </w:r>
    </w:p>
    <w:p w14:paraId="77F51CCB" w14:textId="1CDC5D2B" w:rsidR="009A1D23" w:rsidRDefault="009A1D23" w:rsidP="00A55C84">
      <w:pPr>
        <w:jc w:val="both"/>
      </w:pPr>
      <w:r w:rsidRPr="00D06C5F">
        <w:t xml:space="preserve">The date of implementation is </w:t>
      </w:r>
      <w:sdt>
        <w:sdtPr>
          <w:alias w:val="Publish Date"/>
          <w:tag w:val=""/>
          <w:id w:val="-1847697475"/>
          <w:placeholder>
            <w:docPart w:val="B6D9F3766C26439AB4A5A6CE6D7046F8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lid w:val="en-IE"/>
            <w:storeMappedDataAs w:val="dateTime"/>
            <w:calendar w:val="gregorian"/>
          </w:date>
        </w:sdtPr>
        <w:sdtEndPr/>
        <w:sdtContent>
          <w:r w:rsidRPr="00D06C5F">
            <w:rPr>
              <w:rStyle w:val="PlaceholderText"/>
            </w:rPr>
            <w:t>[Publish Date]</w:t>
          </w:r>
        </w:sdtContent>
      </w:sdt>
      <w:r w:rsidRPr="00D06C5F">
        <w:t xml:space="preserve">, which is the date of adoption by </w:t>
      </w:r>
      <w:sdt>
        <w:sdtPr>
          <w:alias w:val="Keywords"/>
          <w:tag w:val=""/>
          <w:id w:val="1361703502"/>
          <w:placeholder>
            <w:docPart w:val="841A0EA889874898B76BB20951B16257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06C5F" w:rsidRPr="00D06C5F">
            <w:t>Dublin &amp; Dun Laoghaire Education &amp; Training Board (DDLETB)</w:t>
          </w:r>
        </w:sdtContent>
      </w:sdt>
      <w:r w:rsidRPr="00D06C5F">
        <w:t xml:space="preserve"> Education and Training Board.</w:t>
      </w:r>
      <w:r>
        <w:t xml:space="preserve"> </w:t>
      </w:r>
    </w:p>
    <w:sectPr w:rsidR="009A1D23" w:rsidSect="001866E3">
      <w:headerReference w:type="default" r:id="rId16"/>
      <w:footerReference w:type="default" r:id="rId17"/>
      <w:pgSz w:w="12240" w:h="15840"/>
      <w:pgMar w:top="1276" w:right="1440" w:bottom="12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49E3E" w14:textId="77777777" w:rsidR="004B3E92" w:rsidRDefault="004B3E92" w:rsidP="005755B9">
      <w:pPr>
        <w:spacing w:after="0" w:line="240" w:lineRule="auto"/>
      </w:pPr>
      <w:r>
        <w:separator/>
      </w:r>
    </w:p>
  </w:endnote>
  <w:endnote w:type="continuationSeparator" w:id="0">
    <w:p w14:paraId="152983FE" w14:textId="77777777" w:rsidR="004B3E92" w:rsidRDefault="004B3E92" w:rsidP="00575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00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F83424" w14:textId="21DA115D" w:rsidR="00800E89" w:rsidRDefault="00800E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645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7F50120" w14:textId="77777777" w:rsidR="00800E89" w:rsidRDefault="00800E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E0AEE" w14:textId="77777777" w:rsidR="004B3E92" w:rsidRDefault="004B3E92" w:rsidP="005755B9">
      <w:pPr>
        <w:spacing w:after="0" w:line="240" w:lineRule="auto"/>
      </w:pPr>
      <w:r>
        <w:separator/>
      </w:r>
    </w:p>
  </w:footnote>
  <w:footnote w:type="continuationSeparator" w:id="0">
    <w:p w14:paraId="6E56D59D" w14:textId="77777777" w:rsidR="004B3E92" w:rsidRDefault="004B3E92" w:rsidP="00575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B7164" w14:textId="7FA31F6C" w:rsidR="005755B9" w:rsidRDefault="00D06C5F" w:rsidP="00695836">
    <w:pPr>
      <w:pStyle w:val="Header"/>
      <w:tabs>
        <w:tab w:val="clear" w:pos="4680"/>
      </w:tabs>
    </w:pPr>
    <w:r>
      <w:rPr>
        <w:noProof/>
        <w:lang w:val="en-IE" w:eastAsia="en-IE"/>
      </w:rPr>
      <w:drawing>
        <wp:inline distT="0" distB="0" distL="0" distR="0" wp14:anchorId="7CCE959A" wp14:editId="36E02FFC">
          <wp:extent cx="1765391" cy="660434"/>
          <wp:effectExtent l="0" t="0" r="635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dletb logo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391" cy="660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95836">
      <w:t xml:space="preserve">  </w:t>
    </w:r>
    <w:r w:rsidR="00695836">
      <w:rPr>
        <w:noProof/>
        <w:lang w:val="en-GB" w:eastAsia="en-GB"/>
      </w:rPr>
      <w:t xml:space="preserve">                                                                                  </w:t>
    </w:r>
    <w:r w:rsidR="00695836" w:rsidRPr="005755B9">
      <w:rPr>
        <w:noProof/>
        <w:lang w:val="en-IE" w:eastAsia="en-IE"/>
      </w:rPr>
      <w:drawing>
        <wp:inline distT="0" distB="0" distL="0" distR="0" wp14:anchorId="43FE5930" wp14:editId="0FB0538B">
          <wp:extent cx="1413502" cy="676275"/>
          <wp:effectExtent l="0" t="0" r="0" b="0"/>
          <wp:docPr id="2" name="Picture 2" descr="C:\Users\g.moore\Desktop\gwen new desktop Items\00_ETBI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.moore\Desktop\gwen new desktop Items\00_ETBI_smal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569" cy="683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9A0183" w14:textId="77777777" w:rsidR="005755B9" w:rsidRDefault="005755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C6"/>
    <w:multiLevelType w:val="hybridMultilevel"/>
    <w:tmpl w:val="E2F0C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523C"/>
    <w:multiLevelType w:val="hybridMultilevel"/>
    <w:tmpl w:val="02501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B2BD3"/>
    <w:multiLevelType w:val="hybridMultilevel"/>
    <w:tmpl w:val="E1E6D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57BF6"/>
    <w:multiLevelType w:val="multilevel"/>
    <w:tmpl w:val="D036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56710E5"/>
    <w:multiLevelType w:val="hybridMultilevel"/>
    <w:tmpl w:val="B3B6D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B6AAD"/>
    <w:multiLevelType w:val="multilevel"/>
    <w:tmpl w:val="9CCA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1A1936"/>
    <w:multiLevelType w:val="hybridMultilevel"/>
    <w:tmpl w:val="B3681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C3B25"/>
    <w:multiLevelType w:val="hybridMultilevel"/>
    <w:tmpl w:val="7E1A4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45EB7"/>
    <w:multiLevelType w:val="hybridMultilevel"/>
    <w:tmpl w:val="E69C6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54826"/>
    <w:multiLevelType w:val="hybridMultilevel"/>
    <w:tmpl w:val="27C2B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E04E0"/>
    <w:multiLevelType w:val="hybridMultilevel"/>
    <w:tmpl w:val="7320E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05315"/>
    <w:multiLevelType w:val="hybridMultilevel"/>
    <w:tmpl w:val="12FCA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07E05"/>
    <w:multiLevelType w:val="hybridMultilevel"/>
    <w:tmpl w:val="D3BE9B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1D634C"/>
    <w:multiLevelType w:val="hybridMultilevel"/>
    <w:tmpl w:val="49AE0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E0131"/>
    <w:multiLevelType w:val="hybridMultilevel"/>
    <w:tmpl w:val="B6A2E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3296B"/>
    <w:multiLevelType w:val="hybridMultilevel"/>
    <w:tmpl w:val="379CB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B4FAA"/>
    <w:multiLevelType w:val="hybridMultilevel"/>
    <w:tmpl w:val="F780B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73AC7"/>
    <w:multiLevelType w:val="hybridMultilevel"/>
    <w:tmpl w:val="648EF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A2070A"/>
    <w:multiLevelType w:val="hybridMultilevel"/>
    <w:tmpl w:val="7FE26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16"/>
  </w:num>
  <w:num w:numId="14">
    <w:abstractNumId w:val="12"/>
  </w:num>
  <w:num w:numId="15">
    <w:abstractNumId w:val="18"/>
  </w:num>
  <w:num w:numId="16">
    <w:abstractNumId w:val="2"/>
  </w:num>
  <w:num w:numId="17">
    <w:abstractNumId w:val="8"/>
  </w:num>
  <w:num w:numId="18">
    <w:abstractNumId w:val="5"/>
  </w:num>
  <w:num w:numId="19">
    <w:abstractNumId w:val="6"/>
  </w:num>
  <w:num w:numId="20">
    <w:abstractNumId w:val="3"/>
  </w:num>
  <w:num w:numId="21">
    <w:abstractNumId w:val="15"/>
  </w:num>
  <w:num w:numId="22">
    <w:abstractNumId w:val="10"/>
  </w:num>
  <w:num w:numId="23">
    <w:abstractNumId w:val="14"/>
  </w:num>
  <w:num w:numId="24">
    <w:abstractNumId w:val="7"/>
  </w:num>
  <w:num w:numId="25">
    <w:abstractNumId w:val="19"/>
  </w:num>
  <w:num w:numId="26">
    <w:abstractNumId w:val="9"/>
  </w:num>
  <w:num w:numId="27">
    <w:abstractNumId w:val="13"/>
  </w:num>
  <w:num w:numId="28">
    <w:abstractNumId w:val="11"/>
  </w:num>
  <w:num w:numId="29">
    <w:abstractNumId w:val="17"/>
  </w:num>
  <w:num w:numId="30">
    <w:abstractNumId w:val="0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B9"/>
    <w:rsid w:val="00000030"/>
    <w:rsid w:val="00033A9B"/>
    <w:rsid w:val="00055F1B"/>
    <w:rsid w:val="00071D4E"/>
    <w:rsid w:val="00082A0B"/>
    <w:rsid w:val="000927CF"/>
    <w:rsid w:val="00097206"/>
    <w:rsid w:val="000C760B"/>
    <w:rsid w:val="000F0A35"/>
    <w:rsid w:val="00102611"/>
    <w:rsid w:val="00111EE1"/>
    <w:rsid w:val="00120D15"/>
    <w:rsid w:val="00142E05"/>
    <w:rsid w:val="001866E3"/>
    <w:rsid w:val="001F4527"/>
    <w:rsid w:val="002127D3"/>
    <w:rsid w:val="00273E51"/>
    <w:rsid w:val="00273E6E"/>
    <w:rsid w:val="002C685C"/>
    <w:rsid w:val="002F72B0"/>
    <w:rsid w:val="0037508E"/>
    <w:rsid w:val="003812C7"/>
    <w:rsid w:val="003A43AE"/>
    <w:rsid w:val="003A45A8"/>
    <w:rsid w:val="003B4FCE"/>
    <w:rsid w:val="004278D2"/>
    <w:rsid w:val="00455374"/>
    <w:rsid w:val="00473A5C"/>
    <w:rsid w:val="0049245B"/>
    <w:rsid w:val="004A3BAD"/>
    <w:rsid w:val="004B288E"/>
    <w:rsid w:val="004B3E92"/>
    <w:rsid w:val="004B6EB4"/>
    <w:rsid w:val="00566259"/>
    <w:rsid w:val="005755B9"/>
    <w:rsid w:val="005C70EF"/>
    <w:rsid w:val="00604685"/>
    <w:rsid w:val="00616E15"/>
    <w:rsid w:val="00652B1E"/>
    <w:rsid w:val="00695836"/>
    <w:rsid w:val="006F5D19"/>
    <w:rsid w:val="00707638"/>
    <w:rsid w:val="0071403F"/>
    <w:rsid w:val="0072035D"/>
    <w:rsid w:val="00732E3F"/>
    <w:rsid w:val="00761B7D"/>
    <w:rsid w:val="00770338"/>
    <w:rsid w:val="007A2F15"/>
    <w:rsid w:val="007B0711"/>
    <w:rsid w:val="007C23BA"/>
    <w:rsid w:val="007E25BB"/>
    <w:rsid w:val="00800E89"/>
    <w:rsid w:val="00820823"/>
    <w:rsid w:val="008345E1"/>
    <w:rsid w:val="00861493"/>
    <w:rsid w:val="008668FC"/>
    <w:rsid w:val="008A4B82"/>
    <w:rsid w:val="008B0EAB"/>
    <w:rsid w:val="008F0A8D"/>
    <w:rsid w:val="009174A7"/>
    <w:rsid w:val="00982D01"/>
    <w:rsid w:val="00985118"/>
    <w:rsid w:val="00990491"/>
    <w:rsid w:val="009A1D23"/>
    <w:rsid w:val="009C5B9E"/>
    <w:rsid w:val="00A20686"/>
    <w:rsid w:val="00A401F7"/>
    <w:rsid w:val="00A5284C"/>
    <w:rsid w:val="00A55C84"/>
    <w:rsid w:val="00A7460E"/>
    <w:rsid w:val="00AC1E28"/>
    <w:rsid w:val="00B20442"/>
    <w:rsid w:val="00B322E9"/>
    <w:rsid w:val="00B7322E"/>
    <w:rsid w:val="00B91B36"/>
    <w:rsid w:val="00BC4FB1"/>
    <w:rsid w:val="00BE7A84"/>
    <w:rsid w:val="00BF2B83"/>
    <w:rsid w:val="00C02AA6"/>
    <w:rsid w:val="00C229EC"/>
    <w:rsid w:val="00C500F9"/>
    <w:rsid w:val="00C700CE"/>
    <w:rsid w:val="00CC5FD7"/>
    <w:rsid w:val="00CC7587"/>
    <w:rsid w:val="00CF2E8B"/>
    <w:rsid w:val="00CF42FB"/>
    <w:rsid w:val="00D06C5F"/>
    <w:rsid w:val="00D24970"/>
    <w:rsid w:val="00D257F0"/>
    <w:rsid w:val="00D46320"/>
    <w:rsid w:val="00D6204F"/>
    <w:rsid w:val="00DB2453"/>
    <w:rsid w:val="00DD4F4B"/>
    <w:rsid w:val="00E0645C"/>
    <w:rsid w:val="00E32337"/>
    <w:rsid w:val="00E55EDC"/>
    <w:rsid w:val="00E64F7E"/>
    <w:rsid w:val="00E77585"/>
    <w:rsid w:val="00EA6070"/>
    <w:rsid w:val="00F2476D"/>
    <w:rsid w:val="00F34231"/>
    <w:rsid w:val="00F410A9"/>
    <w:rsid w:val="00F73ACB"/>
    <w:rsid w:val="00F7730E"/>
    <w:rsid w:val="00FA6E47"/>
    <w:rsid w:val="00FC0636"/>
    <w:rsid w:val="00FC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86B1B"/>
  <w15:docId w15:val="{25914ACE-46B6-466B-A0F8-145C2641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A5A5A" w:themeColor="text1" w:themeTint="A5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/>
    </w:rPr>
  </w:style>
  <w:style w:type="character" w:styleId="Strong">
    <w:name w:val="Strong"/>
    <w:basedOn w:val="DefaultParagraphFont"/>
    <w:uiPriority w:val="22"/>
    <w:qFormat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00000" w:themeColor="text1"/>
      <w:shd w:val="clear" w:color="auto" w:fill="F2F2F2" w:themeFill="background1" w:themeFillShade="F2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5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5B9"/>
  </w:style>
  <w:style w:type="paragraph" w:styleId="Footer">
    <w:name w:val="footer"/>
    <w:basedOn w:val="Normal"/>
    <w:link w:val="FooterChar"/>
    <w:uiPriority w:val="99"/>
    <w:unhideWhenUsed/>
    <w:rsid w:val="00575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5B9"/>
  </w:style>
  <w:style w:type="character" w:styleId="PlaceholderText">
    <w:name w:val="Placeholder Text"/>
    <w:basedOn w:val="DefaultParagraphFont"/>
    <w:uiPriority w:val="99"/>
    <w:semiHidden/>
    <w:rsid w:val="004B288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2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C6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85C"/>
    <w:rPr>
      <w:b/>
      <w:bCs/>
      <w:sz w:val="20"/>
      <w:szCs w:val="20"/>
    </w:rPr>
  </w:style>
  <w:style w:type="paragraph" w:customStyle="1" w:styleId="c1">
    <w:name w:val="c1"/>
    <w:basedOn w:val="Normal"/>
    <w:rsid w:val="00DB2453"/>
    <w:pPr>
      <w:widowControl w:val="0"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9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.moore\AppData\Roaming\Microsoft\Templates\Report%20design%20(blank)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957C500-1C5E-44FE-B923-3F0C4BB3DE63}" type="doc">
      <dgm:prSet loTypeId="urn:microsoft.com/office/officeart/2005/8/layout/process1" loCatId="process" qsTypeId="urn:microsoft.com/office/officeart/2005/8/quickstyle/3d1" qsCatId="3D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D3E24608-7D83-4102-A37C-575DF53F1AE8}">
      <dgm:prSet phldrT="[Text]"/>
      <dgm:spPr/>
      <dgm:t>
        <a:bodyPr/>
        <a:lstStyle/>
        <a:p>
          <a:pPr algn="l"/>
          <a:r>
            <a:rPr lang="en-US"/>
            <a:t>What are the benefits for the  ETB's business activities?  </a:t>
          </a:r>
        </a:p>
      </dgm:t>
    </dgm:pt>
    <dgm:pt modelId="{80B3A0FB-1A63-47D4-83D3-7F8EDE10B2EB}" type="parTrans" cxnId="{822FB34A-ACBD-42D2-9A7E-EF4F750673F6}">
      <dgm:prSet/>
      <dgm:spPr/>
      <dgm:t>
        <a:bodyPr/>
        <a:lstStyle/>
        <a:p>
          <a:pPr algn="l"/>
          <a:endParaRPr lang="en-US"/>
        </a:p>
      </dgm:t>
    </dgm:pt>
    <dgm:pt modelId="{848BE05D-5201-4C9E-ADF0-2CEDF443E8E6}" type="sibTrans" cxnId="{822FB34A-ACBD-42D2-9A7E-EF4F750673F6}">
      <dgm:prSet/>
      <dgm:spPr/>
      <dgm:t>
        <a:bodyPr/>
        <a:lstStyle/>
        <a:p>
          <a:pPr algn="l"/>
          <a:endParaRPr lang="en-US"/>
        </a:p>
      </dgm:t>
    </dgm:pt>
    <dgm:pt modelId="{5BEF562E-E3F1-41F8-9750-FBB0B69D8F16}">
      <dgm:prSet phldrT="[Text]"/>
      <dgm:spPr/>
      <dgm:t>
        <a:bodyPr/>
        <a:lstStyle/>
        <a:p>
          <a:pPr algn="l"/>
          <a:r>
            <a:rPr lang="en-US"/>
            <a:t>How will you ensure value for money? </a:t>
          </a:r>
        </a:p>
      </dgm:t>
    </dgm:pt>
    <dgm:pt modelId="{2FB08A4B-A9EF-4656-986B-BFE890748594}" type="parTrans" cxnId="{743179F4-52B9-471D-A2C2-E7A4BFD74394}">
      <dgm:prSet/>
      <dgm:spPr/>
      <dgm:t>
        <a:bodyPr/>
        <a:lstStyle/>
        <a:p>
          <a:pPr algn="l"/>
          <a:endParaRPr lang="en-US"/>
        </a:p>
      </dgm:t>
    </dgm:pt>
    <dgm:pt modelId="{F82A1008-B69E-453D-B0C9-A58D9C23EABE}" type="sibTrans" cxnId="{743179F4-52B9-471D-A2C2-E7A4BFD74394}">
      <dgm:prSet/>
      <dgm:spPr/>
      <dgm:t>
        <a:bodyPr/>
        <a:lstStyle/>
        <a:p>
          <a:pPr algn="l"/>
          <a:endParaRPr lang="en-US"/>
        </a:p>
      </dgm:t>
    </dgm:pt>
    <dgm:pt modelId="{026FBB41-042A-4A0C-A9FA-F5A6F8E42E60}">
      <dgm:prSet phldrT="[Text]"/>
      <dgm:spPr/>
      <dgm:t>
        <a:bodyPr/>
        <a:lstStyle/>
        <a:p>
          <a:pPr algn="l"/>
          <a:r>
            <a:rPr lang="en-US"/>
            <a:t>Must be documented and receipted </a:t>
          </a:r>
        </a:p>
      </dgm:t>
    </dgm:pt>
    <dgm:pt modelId="{397D2905-E20A-441E-9505-8A0F4033EF88}" type="parTrans" cxnId="{CABF9B2E-93F1-423D-8E47-3C193BB21287}">
      <dgm:prSet/>
      <dgm:spPr/>
      <dgm:t>
        <a:bodyPr/>
        <a:lstStyle/>
        <a:p>
          <a:pPr algn="l"/>
          <a:endParaRPr lang="en-US"/>
        </a:p>
      </dgm:t>
    </dgm:pt>
    <dgm:pt modelId="{7BCE3610-3246-4F51-827E-99A75B0E7253}" type="sibTrans" cxnId="{CABF9B2E-93F1-423D-8E47-3C193BB21287}">
      <dgm:prSet/>
      <dgm:spPr/>
      <dgm:t>
        <a:bodyPr/>
        <a:lstStyle/>
        <a:p>
          <a:pPr algn="l"/>
          <a:endParaRPr lang="en-US"/>
        </a:p>
      </dgm:t>
    </dgm:pt>
    <dgm:pt modelId="{E5973082-2921-4A0F-BB94-B4742BB891FC}" type="pres">
      <dgm:prSet presAssocID="{1957C500-1C5E-44FE-B923-3F0C4BB3DE63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008685DF-A4D4-450D-834E-FDFE452DC318}" type="pres">
      <dgm:prSet presAssocID="{D3E24608-7D83-4102-A37C-575DF53F1AE8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8EE8D82-CB84-4E8A-AD04-4AF410FCDCB0}" type="pres">
      <dgm:prSet presAssocID="{848BE05D-5201-4C9E-ADF0-2CEDF443E8E6}" presName="sibTrans" presStyleLbl="sibTrans2D1" presStyleIdx="0" presStyleCnt="2"/>
      <dgm:spPr/>
      <dgm:t>
        <a:bodyPr/>
        <a:lstStyle/>
        <a:p>
          <a:endParaRPr lang="en-US"/>
        </a:p>
      </dgm:t>
    </dgm:pt>
    <dgm:pt modelId="{E11E4A17-67DF-4C38-AB54-F0FF78259D9C}" type="pres">
      <dgm:prSet presAssocID="{848BE05D-5201-4C9E-ADF0-2CEDF443E8E6}" presName="connectorText" presStyleLbl="sibTrans2D1" presStyleIdx="0" presStyleCnt="2"/>
      <dgm:spPr/>
      <dgm:t>
        <a:bodyPr/>
        <a:lstStyle/>
        <a:p>
          <a:endParaRPr lang="en-US"/>
        </a:p>
      </dgm:t>
    </dgm:pt>
    <dgm:pt modelId="{8F1F01E3-0B3D-43F4-99F2-F2E9D2BA64E7}" type="pres">
      <dgm:prSet presAssocID="{5BEF562E-E3F1-41F8-9750-FBB0B69D8F16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DE2AAC4-8B17-4C99-9FE1-E481F10739E4}" type="pres">
      <dgm:prSet presAssocID="{F82A1008-B69E-453D-B0C9-A58D9C23EABE}" presName="sibTrans" presStyleLbl="sibTrans2D1" presStyleIdx="1" presStyleCnt="2"/>
      <dgm:spPr/>
      <dgm:t>
        <a:bodyPr/>
        <a:lstStyle/>
        <a:p>
          <a:endParaRPr lang="en-US"/>
        </a:p>
      </dgm:t>
    </dgm:pt>
    <dgm:pt modelId="{34FB2E08-CB6A-4533-A39E-AB2A8B7B1B77}" type="pres">
      <dgm:prSet presAssocID="{F82A1008-B69E-453D-B0C9-A58D9C23EABE}" presName="connectorText" presStyleLbl="sibTrans2D1" presStyleIdx="1" presStyleCnt="2"/>
      <dgm:spPr/>
      <dgm:t>
        <a:bodyPr/>
        <a:lstStyle/>
        <a:p>
          <a:endParaRPr lang="en-US"/>
        </a:p>
      </dgm:t>
    </dgm:pt>
    <dgm:pt modelId="{000748EA-17AC-42C5-A4A3-468C61ED1943}" type="pres">
      <dgm:prSet presAssocID="{026FBB41-042A-4A0C-A9FA-F5A6F8E42E60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D60647F-C0C7-4503-BF81-6DCEE6918D3D}" type="presOf" srcId="{5BEF562E-E3F1-41F8-9750-FBB0B69D8F16}" destId="{8F1F01E3-0B3D-43F4-99F2-F2E9D2BA64E7}" srcOrd="0" destOrd="0" presId="urn:microsoft.com/office/officeart/2005/8/layout/process1"/>
    <dgm:cxn modelId="{743179F4-52B9-471D-A2C2-E7A4BFD74394}" srcId="{1957C500-1C5E-44FE-B923-3F0C4BB3DE63}" destId="{5BEF562E-E3F1-41F8-9750-FBB0B69D8F16}" srcOrd="1" destOrd="0" parTransId="{2FB08A4B-A9EF-4656-986B-BFE890748594}" sibTransId="{F82A1008-B69E-453D-B0C9-A58D9C23EABE}"/>
    <dgm:cxn modelId="{CABF9B2E-93F1-423D-8E47-3C193BB21287}" srcId="{1957C500-1C5E-44FE-B923-3F0C4BB3DE63}" destId="{026FBB41-042A-4A0C-A9FA-F5A6F8E42E60}" srcOrd="2" destOrd="0" parTransId="{397D2905-E20A-441E-9505-8A0F4033EF88}" sibTransId="{7BCE3610-3246-4F51-827E-99A75B0E7253}"/>
    <dgm:cxn modelId="{84B1F26A-80BC-4F5C-BF0A-E256EC0A4D17}" type="presOf" srcId="{848BE05D-5201-4C9E-ADF0-2CEDF443E8E6}" destId="{E11E4A17-67DF-4C38-AB54-F0FF78259D9C}" srcOrd="1" destOrd="0" presId="urn:microsoft.com/office/officeart/2005/8/layout/process1"/>
    <dgm:cxn modelId="{48DF36E7-1D1F-4FEA-9274-0BAF472B223F}" type="presOf" srcId="{848BE05D-5201-4C9E-ADF0-2CEDF443E8E6}" destId="{38EE8D82-CB84-4E8A-AD04-4AF410FCDCB0}" srcOrd="0" destOrd="0" presId="urn:microsoft.com/office/officeart/2005/8/layout/process1"/>
    <dgm:cxn modelId="{648CE0EA-EC6A-46C2-9F03-EBC3B11FE9F4}" type="presOf" srcId="{D3E24608-7D83-4102-A37C-575DF53F1AE8}" destId="{008685DF-A4D4-450D-834E-FDFE452DC318}" srcOrd="0" destOrd="0" presId="urn:microsoft.com/office/officeart/2005/8/layout/process1"/>
    <dgm:cxn modelId="{822FB34A-ACBD-42D2-9A7E-EF4F750673F6}" srcId="{1957C500-1C5E-44FE-B923-3F0C4BB3DE63}" destId="{D3E24608-7D83-4102-A37C-575DF53F1AE8}" srcOrd="0" destOrd="0" parTransId="{80B3A0FB-1A63-47D4-83D3-7F8EDE10B2EB}" sibTransId="{848BE05D-5201-4C9E-ADF0-2CEDF443E8E6}"/>
    <dgm:cxn modelId="{DEDA57F4-EB46-4F84-8AD2-245DBCE55A1A}" type="presOf" srcId="{F82A1008-B69E-453D-B0C9-A58D9C23EABE}" destId="{FDE2AAC4-8B17-4C99-9FE1-E481F10739E4}" srcOrd="0" destOrd="0" presId="urn:microsoft.com/office/officeart/2005/8/layout/process1"/>
    <dgm:cxn modelId="{1628C0A9-C820-4834-87D8-9E2A0B99ADBE}" type="presOf" srcId="{026FBB41-042A-4A0C-A9FA-F5A6F8E42E60}" destId="{000748EA-17AC-42C5-A4A3-468C61ED1943}" srcOrd="0" destOrd="0" presId="urn:microsoft.com/office/officeart/2005/8/layout/process1"/>
    <dgm:cxn modelId="{CE03972B-71A4-484F-994E-017167A8CF03}" type="presOf" srcId="{1957C500-1C5E-44FE-B923-3F0C4BB3DE63}" destId="{E5973082-2921-4A0F-BB94-B4742BB891FC}" srcOrd="0" destOrd="0" presId="urn:microsoft.com/office/officeart/2005/8/layout/process1"/>
    <dgm:cxn modelId="{29B770CD-5B82-45E0-83A1-864E8DFF5EDF}" type="presOf" srcId="{F82A1008-B69E-453D-B0C9-A58D9C23EABE}" destId="{34FB2E08-CB6A-4533-A39E-AB2A8B7B1B77}" srcOrd="1" destOrd="0" presId="urn:microsoft.com/office/officeart/2005/8/layout/process1"/>
    <dgm:cxn modelId="{9F7F9005-3821-48B2-81B4-2E9E95A15B6F}" type="presParOf" srcId="{E5973082-2921-4A0F-BB94-B4742BB891FC}" destId="{008685DF-A4D4-450D-834E-FDFE452DC318}" srcOrd="0" destOrd="0" presId="urn:microsoft.com/office/officeart/2005/8/layout/process1"/>
    <dgm:cxn modelId="{AAF0D0CF-E496-4201-AD99-3C733E54BCEC}" type="presParOf" srcId="{E5973082-2921-4A0F-BB94-B4742BB891FC}" destId="{38EE8D82-CB84-4E8A-AD04-4AF410FCDCB0}" srcOrd="1" destOrd="0" presId="urn:microsoft.com/office/officeart/2005/8/layout/process1"/>
    <dgm:cxn modelId="{DEDDDE51-73C6-48E0-A050-70D0A4C3DE59}" type="presParOf" srcId="{38EE8D82-CB84-4E8A-AD04-4AF410FCDCB0}" destId="{E11E4A17-67DF-4C38-AB54-F0FF78259D9C}" srcOrd="0" destOrd="0" presId="urn:microsoft.com/office/officeart/2005/8/layout/process1"/>
    <dgm:cxn modelId="{561B7C8F-6E2C-48F2-941C-6AD398D70ACB}" type="presParOf" srcId="{E5973082-2921-4A0F-BB94-B4742BB891FC}" destId="{8F1F01E3-0B3D-43F4-99F2-F2E9D2BA64E7}" srcOrd="2" destOrd="0" presId="urn:microsoft.com/office/officeart/2005/8/layout/process1"/>
    <dgm:cxn modelId="{ED17E253-8E9D-44FE-9A67-BABCC6567D18}" type="presParOf" srcId="{E5973082-2921-4A0F-BB94-B4742BB891FC}" destId="{FDE2AAC4-8B17-4C99-9FE1-E481F10739E4}" srcOrd="3" destOrd="0" presId="urn:microsoft.com/office/officeart/2005/8/layout/process1"/>
    <dgm:cxn modelId="{5B11CF13-3EE2-43AC-925E-EF3C2AB2CD61}" type="presParOf" srcId="{FDE2AAC4-8B17-4C99-9FE1-E481F10739E4}" destId="{34FB2E08-CB6A-4533-A39E-AB2A8B7B1B77}" srcOrd="0" destOrd="0" presId="urn:microsoft.com/office/officeart/2005/8/layout/process1"/>
    <dgm:cxn modelId="{74676CC5-7F34-45C3-8977-58A85B28D196}" type="presParOf" srcId="{E5973082-2921-4A0F-BB94-B4742BB891FC}" destId="{000748EA-17AC-42C5-A4A3-468C61ED1943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08685DF-A4D4-450D-834E-FDFE452DC318}">
      <dsp:nvSpPr>
        <dsp:cNvPr id="0" name=""/>
        <dsp:cNvSpPr/>
      </dsp:nvSpPr>
      <dsp:spPr>
        <a:xfrm>
          <a:off x="5232" y="4150"/>
          <a:ext cx="1563858" cy="9822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What are the benefits for the  ETB's business activities?  </a:t>
          </a:r>
        </a:p>
      </dsp:txBody>
      <dsp:txXfrm>
        <a:off x="34003" y="32921"/>
        <a:ext cx="1506316" cy="924756"/>
      </dsp:txXfrm>
    </dsp:sp>
    <dsp:sp modelId="{38EE8D82-CB84-4E8A-AD04-4AF410FCDCB0}">
      <dsp:nvSpPr>
        <dsp:cNvPr id="0" name=""/>
        <dsp:cNvSpPr/>
      </dsp:nvSpPr>
      <dsp:spPr>
        <a:xfrm>
          <a:off x="1725476" y="301381"/>
          <a:ext cx="331537" cy="38783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1725476" y="378948"/>
        <a:ext cx="232076" cy="232702"/>
      </dsp:txXfrm>
    </dsp:sp>
    <dsp:sp modelId="{8F1F01E3-0B3D-43F4-99F2-F2E9D2BA64E7}">
      <dsp:nvSpPr>
        <dsp:cNvPr id="0" name=""/>
        <dsp:cNvSpPr/>
      </dsp:nvSpPr>
      <dsp:spPr>
        <a:xfrm>
          <a:off x="2194633" y="4150"/>
          <a:ext cx="1563858" cy="9822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-2790486"/>
                <a:satOff val="-15286"/>
                <a:lumOff val="4706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-2790486"/>
                <a:satOff val="-15286"/>
                <a:lumOff val="4706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-2790486"/>
                <a:satOff val="-15286"/>
                <a:lumOff val="4706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How will you ensure value for money? </a:t>
          </a:r>
        </a:p>
      </dsp:txBody>
      <dsp:txXfrm>
        <a:off x="2223404" y="32921"/>
        <a:ext cx="1506316" cy="924756"/>
      </dsp:txXfrm>
    </dsp:sp>
    <dsp:sp modelId="{FDE2AAC4-8B17-4C99-9FE1-E481F10739E4}">
      <dsp:nvSpPr>
        <dsp:cNvPr id="0" name=""/>
        <dsp:cNvSpPr/>
      </dsp:nvSpPr>
      <dsp:spPr>
        <a:xfrm>
          <a:off x="3914877" y="301381"/>
          <a:ext cx="331537" cy="38783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-5580972"/>
                <a:satOff val="-30571"/>
                <a:lumOff val="941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-5580972"/>
                <a:satOff val="-30571"/>
                <a:lumOff val="941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-5580972"/>
                <a:satOff val="-30571"/>
                <a:lumOff val="941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3914877" y="378948"/>
        <a:ext cx="232076" cy="232702"/>
      </dsp:txXfrm>
    </dsp:sp>
    <dsp:sp modelId="{000748EA-17AC-42C5-A4A3-468C61ED1943}">
      <dsp:nvSpPr>
        <dsp:cNvPr id="0" name=""/>
        <dsp:cNvSpPr/>
      </dsp:nvSpPr>
      <dsp:spPr>
        <a:xfrm>
          <a:off x="4384034" y="4150"/>
          <a:ext cx="1563858" cy="9822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-5580972"/>
                <a:satOff val="-30571"/>
                <a:lumOff val="941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-5580972"/>
                <a:satOff val="-30571"/>
                <a:lumOff val="941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-5580972"/>
                <a:satOff val="-30571"/>
                <a:lumOff val="941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Must be documented and receipted </a:t>
          </a:r>
        </a:p>
      </dsp:txBody>
      <dsp:txXfrm>
        <a:off x="4412805" y="32921"/>
        <a:ext cx="1506316" cy="9247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6C91ABB20044108864A019F6F3E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8F597-CE93-4E16-8470-AA22EF1B0566}"/>
      </w:docPartPr>
      <w:docPartBody>
        <w:p w:rsidR="005544F2" w:rsidRDefault="00DC308B">
          <w:r w:rsidRPr="008F5428">
            <w:rPr>
              <w:rStyle w:val="PlaceholderText"/>
            </w:rPr>
            <w:t>[Keywords]</w:t>
          </w:r>
        </w:p>
      </w:docPartBody>
    </w:docPart>
    <w:docPart>
      <w:docPartPr>
        <w:name w:val="291A7648453640D3ABB9CBD60D384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EC2A8-F07E-44BD-8C13-2334F3BF8FE0}"/>
      </w:docPartPr>
      <w:docPartBody>
        <w:p w:rsidR="0085072D" w:rsidRDefault="005544F2">
          <w:r w:rsidRPr="001B6D09">
            <w:rPr>
              <w:rStyle w:val="PlaceholderText"/>
            </w:rPr>
            <w:t>[Keywords]</w:t>
          </w:r>
        </w:p>
      </w:docPartBody>
    </w:docPart>
    <w:docPart>
      <w:docPartPr>
        <w:name w:val="3BAD2AB4D59443A88EA60782DD84B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5D9BF-481B-4B27-8A77-A4043BB2A320}"/>
      </w:docPartPr>
      <w:docPartBody>
        <w:p w:rsidR="0085072D" w:rsidRDefault="005544F2">
          <w:r w:rsidRPr="001B6D09">
            <w:rPr>
              <w:rStyle w:val="PlaceholderText"/>
            </w:rPr>
            <w:t>[Company]</w:t>
          </w:r>
        </w:p>
      </w:docPartBody>
    </w:docPart>
    <w:docPart>
      <w:docPartPr>
        <w:name w:val="A8D4A830A4AA46099E115040F5DBD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A6D5B-BD8D-40A8-A617-83F994240304}"/>
      </w:docPartPr>
      <w:docPartBody>
        <w:p w:rsidR="0085072D" w:rsidRDefault="005544F2">
          <w:r w:rsidRPr="001B6D09">
            <w:rPr>
              <w:rStyle w:val="PlaceholderText"/>
            </w:rPr>
            <w:t>[Company]</w:t>
          </w:r>
        </w:p>
      </w:docPartBody>
    </w:docPart>
    <w:docPart>
      <w:docPartPr>
        <w:name w:val="E0C1BCF6C4A34A01AE97F6452FA7B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95D1F-6B90-45FE-9AED-56CD92653CDA}"/>
      </w:docPartPr>
      <w:docPartBody>
        <w:p w:rsidR="0085072D" w:rsidRDefault="005544F2">
          <w:r w:rsidRPr="001B6D09">
            <w:rPr>
              <w:rStyle w:val="PlaceholderText"/>
            </w:rPr>
            <w:t>[Company]</w:t>
          </w:r>
        </w:p>
      </w:docPartBody>
    </w:docPart>
    <w:docPart>
      <w:docPartPr>
        <w:name w:val="F92E43E6A7114B9EB8A8A84F9B9D3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EE344-BADD-4568-A458-5E804AA658EA}"/>
      </w:docPartPr>
      <w:docPartBody>
        <w:p w:rsidR="0085072D" w:rsidRDefault="005544F2">
          <w:r w:rsidRPr="001B6D09">
            <w:rPr>
              <w:rStyle w:val="PlaceholderText"/>
            </w:rPr>
            <w:t>[Keywords]</w:t>
          </w:r>
        </w:p>
      </w:docPartBody>
    </w:docPart>
    <w:docPart>
      <w:docPartPr>
        <w:name w:val="B6D9F3766C26439AB4A5A6CE6D704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B7446-6426-4CF3-B370-493FCD96BD0C}"/>
      </w:docPartPr>
      <w:docPartBody>
        <w:p w:rsidR="0085072D" w:rsidRDefault="005544F2" w:rsidP="005544F2">
          <w:pPr>
            <w:pStyle w:val="B6D9F3766C26439AB4A5A6CE6D7046F8"/>
          </w:pPr>
          <w:r w:rsidRPr="00A00A3E">
            <w:rPr>
              <w:rStyle w:val="PlaceholderText"/>
            </w:rPr>
            <w:t>[Publish Date]</w:t>
          </w:r>
        </w:p>
      </w:docPartBody>
    </w:docPart>
    <w:docPart>
      <w:docPartPr>
        <w:name w:val="841A0EA889874898B76BB20951B16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761B8-7E3B-44FB-988F-F8F600682104}"/>
      </w:docPartPr>
      <w:docPartBody>
        <w:p w:rsidR="0085072D" w:rsidRDefault="005544F2" w:rsidP="005544F2">
          <w:pPr>
            <w:pStyle w:val="841A0EA889874898B76BB20951B16257"/>
          </w:pPr>
          <w:r w:rsidRPr="00A00A3E">
            <w:rPr>
              <w:rStyle w:val="PlaceholderText"/>
            </w:rPr>
            <w:t>[Keywords]</w:t>
          </w:r>
        </w:p>
      </w:docPartBody>
    </w:docPart>
    <w:docPart>
      <w:docPartPr>
        <w:name w:val="C91A63DEB1A349A0A178DFD31BEB5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908F7-26B0-4D08-8D01-0C237DB053BF}"/>
      </w:docPartPr>
      <w:docPartBody>
        <w:p w:rsidR="0085072D" w:rsidRDefault="005544F2">
          <w:r w:rsidRPr="00A00A3E">
            <w:rPr>
              <w:rStyle w:val="PlaceholderText"/>
            </w:rPr>
            <w:t>[Company]</w:t>
          </w:r>
        </w:p>
      </w:docPartBody>
    </w:docPart>
    <w:docPart>
      <w:docPartPr>
        <w:name w:val="7A30E7D8D0884D37A66AFC5F1C803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F64AB-BB1F-4574-8688-873366D84C89}"/>
      </w:docPartPr>
      <w:docPartBody>
        <w:p w:rsidR="00121F51" w:rsidRDefault="004A6E51">
          <w:r w:rsidRPr="00E158C6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04"/>
    <w:rsid w:val="00121F51"/>
    <w:rsid w:val="001D2ECE"/>
    <w:rsid w:val="00215FC1"/>
    <w:rsid w:val="00377B57"/>
    <w:rsid w:val="00414F04"/>
    <w:rsid w:val="004A6E51"/>
    <w:rsid w:val="005544F2"/>
    <w:rsid w:val="005C75D3"/>
    <w:rsid w:val="00683253"/>
    <w:rsid w:val="007E3AAC"/>
    <w:rsid w:val="0085072D"/>
    <w:rsid w:val="00951669"/>
    <w:rsid w:val="00A35FC1"/>
    <w:rsid w:val="00A43F60"/>
    <w:rsid w:val="00AD6E6B"/>
    <w:rsid w:val="00B14789"/>
    <w:rsid w:val="00B74733"/>
    <w:rsid w:val="00B80942"/>
    <w:rsid w:val="00D27A28"/>
    <w:rsid w:val="00DC308B"/>
    <w:rsid w:val="00F1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6E51"/>
    <w:rPr>
      <w:color w:val="808080"/>
    </w:rPr>
  </w:style>
  <w:style w:type="paragraph" w:customStyle="1" w:styleId="0E2CDB72E6094AC68C756DB792067F58">
    <w:name w:val="0E2CDB72E6094AC68C756DB792067F58"/>
    <w:rsid w:val="00414F04"/>
  </w:style>
  <w:style w:type="paragraph" w:customStyle="1" w:styleId="D603F768B8D64E6B84873C1D7B3D75E1">
    <w:name w:val="D603F768B8D64E6B84873C1D7B3D75E1"/>
    <w:rsid w:val="00414F04"/>
  </w:style>
  <w:style w:type="paragraph" w:customStyle="1" w:styleId="8E0146F675C7468ABE942EEEB120A644">
    <w:name w:val="8E0146F675C7468ABE942EEEB120A644"/>
    <w:rsid w:val="00414F04"/>
  </w:style>
  <w:style w:type="paragraph" w:customStyle="1" w:styleId="3A7FBF7D3E7E40CE8EF14904715BBAC1">
    <w:name w:val="3A7FBF7D3E7E40CE8EF14904715BBAC1"/>
    <w:rsid w:val="00414F04"/>
  </w:style>
  <w:style w:type="paragraph" w:customStyle="1" w:styleId="CC79D1FF37894A1BBDB3D6F893963611">
    <w:name w:val="CC79D1FF37894A1BBDB3D6F893963611"/>
    <w:rsid w:val="00414F04"/>
  </w:style>
  <w:style w:type="paragraph" w:customStyle="1" w:styleId="A6CBBFA30B0C409385044F798332BC72">
    <w:name w:val="A6CBBFA30B0C409385044F798332BC72"/>
    <w:rsid w:val="00B74733"/>
    <w:rPr>
      <w:lang w:val="en-US" w:eastAsia="en-US"/>
    </w:rPr>
  </w:style>
  <w:style w:type="paragraph" w:customStyle="1" w:styleId="CBFE24492E044B3EBF03E46D33FD78BC">
    <w:name w:val="CBFE24492E044B3EBF03E46D33FD78BC"/>
    <w:rsid w:val="00B74733"/>
    <w:rPr>
      <w:lang w:val="en-US" w:eastAsia="en-US"/>
    </w:rPr>
  </w:style>
  <w:style w:type="paragraph" w:customStyle="1" w:styleId="D8F9DE677686490588AE605CE80B2D25">
    <w:name w:val="D8F9DE677686490588AE605CE80B2D25"/>
    <w:rsid w:val="00B74733"/>
    <w:rPr>
      <w:lang w:val="en-US" w:eastAsia="en-US"/>
    </w:rPr>
  </w:style>
  <w:style w:type="paragraph" w:customStyle="1" w:styleId="8B586439E814424CB6365CB25AD74CA4">
    <w:name w:val="8B586439E814424CB6365CB25AD74CA4"/>
    <w:rsid w:val="00B74733"/>
    <w:rPr>
      <w:lang w:val="en-US" w:eastAsia="en-US"/>
    </w:rPr>
  </w:style>
  <w:style w:type="paragraph" w:customStyle="1" w:styleId="1B7E30277CB743928ED633F81A246BFD">
    <w:name w:val="1B7E30277CB743928ED633F81A246BFD"/>
    <w:rsid w:val="00B74733"/>
    <w:rPr>
      <w:lang w:val="en-US" w:eastAsia="en-US"/>
    </w:rPr>
  </w:style>
  <w:style w:type="paragraph" w:customStyle="1" w:styleId="B6D9F3766C26439AB4A5A6CE6D7046F8">
    <w:name w:val="B6D9F3766C26439AB4A5A6CE6D7046F8"/>
    <w:rsid w:val="005544F2"/>
    <w:rPr>
      <w:lang w:val="en-US" w:eastAsia="en-US"/>
    </w:rPr>
  </w:style>
  <w:style w:type="paragraph" w:customStyle="1" w:styleId="841A0EA889874898B76BB20951B16257">
    <w:name w:val="841A0EA889874898B76BB20951B16257"/>
    <w:rsid w:val="005544F2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6adf3da6-6e31-43d4-9814-c74149289aa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BF0DFBCD60F4DB68DADF324A97AC0" ma:contentTypeVersion="5" ma:contentTypeDescription="Create a new document." ma:contentTypeScope="" ma:versionID="a9d8f861900f90ee58e851b5be92a26e">
  <xsd:schema xmlns:xsd="http://www.w3.org/2001/XMLSchema" xmlns:xs="http://www.w3.org/2001/XMLSchema" xmlns:p="http://schemas.microsoft.com/office/2006/metadata/properties" xmlns:ns2="6adf3da6-6e31-43d4-9814-c74149289aa7" xmlns:ns3="3af12bcc-4d29-4b4e-b5e7-bc66aa51085b" targetNamespace="http://schemas.microsoft.com/office/2006/metadata/properties" ma:root="true" ma:fieldsID="127ae42b08732a0d74e118d57d7c0019" ns2:_="" ns3:_="">
    <xsd:import namespace="6adf3da6-6e31-43d4-9814-c74149289aa7"/>
    <xsd:import namespace="3af12bcc-4d29-4b4e-b5e7-bc66aa51085b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f3da6-6e31-43d4-9814-c74149289aa7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internalName="Status">
      <xsd:simpleType>
        <xsd:restriction base="dms:Choice">
          <xsd:enumeration value="OSD Approved"/>
          <xsd:enumeration value="CEForum Approved"/>
          <xsd:enumeration value="Submitted To OSD"/>
          <xsd:enumeration value="Submitted To CEForum"/>
          <xsd:enumeration value="For Consideration by OSD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12bcc-4d29-4b4e-b5e7-bc66aa51085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C200F-8902-4D43-A216-5C996B0BC0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EDC4E1-45C6-457F-9FA0-01AB630CC854}">
  <ds:schemaRefs>
    <ds:schemaRef ds:uri="http://schemas.microsoft.com/office/2006/metadata/properties"/>
    <ds:schemaRef ds:uri="http://schemas.microsoft.com/office/infopath/2007/PartnerControls"/>
    <ds:schemaRef ds:uri="6adf3da6-6e31-43d4-9814-c74149289aa7"/>
  </ds:schemaRefs>
</ds:datastoreItem>
</file>

<file path=customXml/itemProps3.xml><?xml version="1.0" encoding="utf-8"?>
<ds:datastoreItem xmlns:ds="http://schemas.openxmlformats.org/officeDocument/2006/customXml" ds:itemID="{D7A4FB16-3DB2-4C0A-8678-7EED54552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f3da6-6e31-43d4-9814-c74149289aa7"/>
    <ds:schemaRef ds:uri="3af12bcc-4d29-4b4e-b5e7-bc66aa510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A06945-5658-4774-9144-3109008C8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</Template>
  <TotalTime>0</TotalTime>
  <Pages>5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DDL</Company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 Moore (PSR)</dc:creator>
  <cp:keywords>Dublin &amp; Dun Laoghaire Education &amp; Training Board (DDLETB)</cp:keywords>
  <cp:lastModifiedBy>Thea Jordan (PAO)</cp:lastModifiedBy>
  <cp:revision>4</cp:revision>
  <cp:lastPrinted>2017-11-22T09:53:00Z</cp:lastPrinted>
  <dcterms:created xsi:type="dcterms:W3CDTF">2020-12-03T11:39:00Z</dcterms:created>
  <dcterms:modified xsi:type="dcterms:W3CDTF">2021-01-11T10:48:00Z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  <property fmtid="{D5CDD505-2E9C-101B-9397-08002B2CF9AE}" pid="3" name="ContentTypeId">
    <vt:lpwstr>0x0101003CDBF0DFBCD60F4DB68DADF324A97AC0</vt:lpwstr>
  </property>
</Properties>
</file>