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017" w:rsidRPr="00864017" w:rsidRDefault="00864017">
      <w:pPr>
        <w:rPr>
          <w:b/>
          <w:sz w:val="24"/>
          <w:szCs w:val="24"/>
        </w:rPr>
      </w:pPr>
      <w:r w:rsidRPr="00864017">
        <w:rPr>
          <w:b/>
          <w:sz w:val="24"/>
          <w:szCs w:val="24"/>
        </w:rPr>
        <w:t>Section B:</w:t>
      </w:r>
      <w:r w:rsidRPr="00864017">
        <w:rPr>
          <w:b/>
          <w:sz w:val="24"/>
          <w:szCs w:val="24"/>
        </w:rPr>
        <w:tab/>
        <w:t>Operational Guidelines</w:t>
      </w:r>
    </w:p>
    <w:p w:rsidR="00864017" w:rsidRPr="00864017" w:rsidRDefault="00864017">
      <w:pPr>
        <w:rPr>
          <w:b/>
          <w:sz w:val="24"/>
          <w:szCs w:val="24"/>
        </w:rPr>
      </w:pPr>
      <w:r w:rsidRPr="00864017">
        <w:rPr>
          <w:b/>
          <w:sz w:val="24"/>
          <w:szCs w:val="24"/>
        </w:rPr>
        <w:t>B5.</w:t>
      </w:r>
      <w:r w:rsidRPr="00864017">
        <w:rPr>
          <w:b/>
          <w:sz w:val="24"/>
          <w:szCs w:val="24"/>
        </w:rPr>
        <w:tab/>
        <w:t>Document Retention.</w:t>
      </w:r>
    </w:p>
    <w:p w:rsidR="00864017" w:rsidRPr="005570BA" w:rsidRDefault="00864017" w:rsidP="00864017">
      <w:pPr>
        <w:pStyle w:val="NormalWeb"/>
        <w:jc w:val="both"/>
        <w:rPr>
          <w:rStyle w:val="subtitles1"/>
          <w:rFonts w:ascii="Calibri" w:hAnsi="Calibri"/>
          <w:color w:val="auto"/>
          <w:sz w:val="20"/>
          <w:szCs w:val="20"/>
        </w:rPr>
      </w:pPr>
      <w:r w:rsidRPr="005570BA">
        <w:rPr>
          <w:rStyle w:val="subtitles1"/>
          <w:rFonts w:ascii="Calibri" w:hAnsi="Calibri"/>
          <w:color w:val="auto"/>
          <w:sz w:val="20"/>
          <w:szCs w:val="20"/>
        </w:rPr>
        <w:t>Retention of Records</w:t>
      </w:r>
    </w:p>
    <w:p w:rsidR="00864017" w:rsidRPr="00262175" w:rsidRDefault="00864017" w:rsidP="00225881">
      <w:pPr>
        <w:pStyle w:val="NormalWeb"/>
        <w:jc w:val="both"/>
        <w:rPr>
          <w:rFonts w:ascii="Arial" w:hAnsi="Arial" w:cs="Arial"/>
          <w:color w:val="000000"/>
          <w:sz w:val="20"/>
          <w:szCs w:val="20"/>
        </w:rPr>
      </w:pPr>
      <w:r w:rsidRPr="00225881">
        <w:rPr>
          <w:rFonts w:ascii="Calibri" w:hAnsi="Calibri"/>
          <w:color w:val="FF0000"/>
          <w:sz w:val="20"/>
          <w:szCs w:val="20"/>
        </w:rPr>
        <w:t>ETB</w:t>
      </w:r>
      <w:r w:rsidR="006D1AE0" w:rsidRPr="00225881">
        <w:rPr>
          <w:rFonts w:ascii="Calibri" w:hAnsi="Calibri"/>
          <w:color w:val="FF0000"/>
          <w:sz w:val="20"/>
          <w:szCs w:val="20"/>
        </w:rPr>
        <w:t xml:space="preserve">/School/Centre </w:t>
      </w:r>
      <w:r w:rsidRPr="00262175">
        <w:rPr>
          <w:rFonts w:ascii="Calibri" w:hAnsi="Calibri"/>
          <w:color w:val="000000"/>
          <w:sz w:val="20"/>
          <w:szCs w:val="20"/>
        </w:rPr>
        <w:t xml:space="preserve">as </w:t>
      </w:r>
      <w:r w:rsidRPr="00262175">
        <w:rPr>
          <w:rFonts w:ascii="Calibri" w:hAnsi="Calibri"/>
          <w:i/>
          <w:color w:val="000000"/>
          <w:sz w:val="20"/>
          <w:szCs w:val="20"/>
        </w:rPr>
        <w:t>data controllers</w:t>
      </w:r>
      <w:r w:rsidRPr="00262175">
        <w:rPr>
          <w:rFonts w:ascii="Calibri" w:hAnsi="Calibri"/>
          <w:color w:val="000000"/>
          <w:sz w:val="20"/>
          <w:szCs w:val="20"/>
        </w:rPr>
        <w:t xml:space="preserve"> must be clear about the length of time for which personal data will be kept and the reasons why the information is being retained. In determining appropriate retention periods, regard must be had for any statutory obligations imposed on a data controller. If the purpose for which the information was obtained has ceased and the personal information is no longer required, the data must be deleted or disposed of in a secure manner. It may also be anonymised to remove any personal data. </w:t>
      </w:r>
      <w:r w:rsidR="00BB1E55">
        <w:rPr>
          <w:rFonts w:ascii="Calibri" w:hAnsi="Calibri"/>
          <w:color w:val="000000"/>
          <w:sz w:val="20"/>
          <w:szCs w:val="20"/>
        </w:rPr>
        <w:t xml:space="preserve"> </w:t>
      </w:r>
      <w:proofErr w:type="spellStart"/>
      <w:r>
        <w:rPr>
          <w:rFonts w:ascii="Calibri" w:hAnsi="Calibri"/>
          <w:color w:val="000000"/>
          <w:sz w:val="20"/>
          <w:szCs w:val="20"/>
        </w:rPr>
        <w:t>Anonymisation</w:t>
      </w:r>
      <w:proofErr w:type="spellEnd"/>
      <w:r>
        <w:rPr>
          <w:rFonts w:ascii="Calibri" w:hAnsi="Calibri"/>
          <w:color w:val="000000"/>
          <w:sz w:val="20"/>
          <w:szCs w:val="20"/>
        </w:rPr>
        <w:t xml:space="preserve"> must be irrevocable; removing names and addresses may not necessarily be sufficient. </w:t>
      </w:r>
    </w:p>
    <w:p w:rsidR="00864017" w:rsidRPr="00262175" w:rsidRDefault="00864017" w:rsidP="00864017">
      <w:pPr>
        <w:pStyle w:val="NormalWeb"/>
        <w:jc w:val="both"/>
        <w:rPr>
          <w:rFonts w:ascii="Calibri" w:hAnsi="Calibri"/>
          <w:color w:val="000000"/>
          <w:sz w:val="20"/>
          <w:szCs w:val="20"/>
        </w:rPr>
      </w:pPr>
      <w:r w:rsidRPr="00262175">
        <w:rPr>
          <w:rFonts w:ascii="Calibri" w:hAnsi="Calibri"/>
          <w:color w:val="000000"/>
          <w:sz w:val="20"/>
          <w:szCs w:val="20"/>
        </w:rPr>
        <w:t xml:space="preserve">In order to comply with this legal requirement, </w:t>
      </w:r>
      <w:r w:rsidRPr="00262175">
        <w:rPr>
          <w:rFonts w:ascii="Calibri" w:hAnsi="Calibri"/>
          <w:i/>
          <w:color w:val="000000"/>
          <w:sz w:val="20"/>
          <w:szCs w:val="20"/>
        </w:rPr>
        <w:t>&lt;Named school/</w:t>
      </w:r>
      <w:r>
        <w:rPr>
          <w:rFonts w:ascii="Calibri" w:hAnsi="Calibri"/>
          <w:i/>
          <w:color w:val="000000"/>
          <w:sz w:val="20"/>
          <w:szCs w:val="20"/>
        </w:rPr>
        <w:t>ETB</w:t>
      </w:r>
      <w:r w:rsidRPr="00262175">
        <w:rPr>
          <w:rFonts w:ascii="Calibri" w:hAnsi="Calibri"/>
          <w:i/>
          <w:color w:val="000000"/>
          <w:sz w:val="20"/>
          <w:szCs w:val="20"/>
        </w:rPr>
        <w:t>&gt;</w:t>
      </w:r>
      <w:r w:rsidRPr="00262175">
        <w:rPr>
          <w:rFonts w:ascii="Calibri" w:hAnsi="Calibri"/>
          <w:color w:val="000000"/>
          <w:sz w:val="20"/>
          <w:szCs w:val="20"/>
        </w:rPr>
        <w:t xml:space="preserve"> has assigned specific responsibility and introduced procedures for ensuring that files are purged </w:t>
      </w:r>
      <w:r w:rsidRPr="00EA116C">
        <w:rPr>
          <w:rFonts w:ascii="Calibri" w:hAnsi="Calibri"/>
          <w:color w:val="000000"/>
          <w:sz w:val="20"/>
          <w:szCs w:val="20"/>
        </w:rPr>
        <w:t xml:space="preserve">regularly and securely </w:t>
      </w:r>
      <w:r w:rsidRPr="00262175">
        <w:rPr>
          <w:rFonts w:ascii="Calibri" w:hAnsi="Calibri"/>
          <w:color w:val="000000"/>
          <w:sz w:val="20"/>
          <w:szCs w:val="20"/>
        </w:rPr>
        <w:t>and that personal data is not retained any longer than is necessary.   All records will be periodically reviewed in light of experience and any legal or other relevant indications.</w:t>
      </w:r>
    </w:p>
    <w:p w:rsidR="00864017" w:rsidRPr="00262175" w:rsidRDefault="00864017" w:rsidP="00864017">
      <w:pPr>
        <w:pStyle w:val="NormalWeb"/>
        <w:jc w:val="both"/>
        <w:rPr>
          <w:rFonts w:ascii="Calibri" w:hAnsi="Calibri"/>
          <w:color w:val="000000"/>
          <w:sz w:val="20"/>
          <w:szCs w:val="20"/>
        </w:rPr>
      </w:pPr>
      <w:r w:rsidRPr="00262175">
        <w:rPr>
          <w:rFonts w:ascii="Calibri" w:hAnsi="Calibri"/>
          <w:b/>
          <w:color w:val="000000"/>
          <w:sz w:val="20"/>
          <w:szCs w:val="20"/>
        </w:rPr>
        <w:t>IMPORTANT</w:t>
      </w:r>
      <w:r w:rsidR="006D1AE0">
        <w:rPr>
          <w:rFonts w:ascii="Calibri" w:hAnsi="Calibri"/>
          <w:color w:val="000000"/>
          <w:sz w:val="20"/>
          <w:szCs w:val="20"/>
        </w:rPr>
        <w:t xml:space="preserve">: In all cases, </w:t>
      </w:r>
      <w:r w:rsidR="006D1AE0" w:rsidRPr="00225881">
        <w:rPr>
          <w:rFonts w:ascii="Calibri" w:hAnsi="Calibri"/>
          <w:color w:val="FF0000"/>
          <w:sz w:val="20"/>
          <w:szCs w:val="20"/>
        </w:rPr>
        <w:t>ETB</w:t>
      </w:r>
      <w:r w:rsidR="006D1AE0" w:rsidRPr="00225881">
        <w:rPr>
          <w:rFonts w:ascii="Calibri" w:hAnsi="Calibri"/>
          <w:color w:val="FF0000"/>
          <w:sz w:val="20"/>
          <w:szCs w:val="20"/>
        </w:rPr>
        <w:t>/School/Centre</w:t>
      </w:r>
      <w:r w:rsidR="006D1AE0" w:rsidRPr="00225881">
        <w:rPr>
          <w:rFonts w:ascii="Calibri" w:hAnsi="Calibri"/>
          <w:color w:val="FF0000"/>
          <w:sz w:val="20"/>
          <w:szCs w:val="20"/>
        </w:rPr>
        <w:t xml:space="preserve"> </w:t>
      </w:r>
      <w:r w:rsidRPr="00262175">
        <w:rPr>
          <w:rFonts w:ascii="Calibri" w:hAnsi="Calibri"/>
          <w:color w:val="000000"/>
          <w:sz w:val="20"/>
          <w:szCs w:val="20"/>
        </w:rPr>
        <w:t xml:space="preserve">should be aware that where proceedings have been initiated, are in progress, or are reasonably foreseeable (although have not yet been taken against the </w:t>
      </w:r>
      <w:r w:rsidR="006D1AE0" w:rsidRPr="00225881">
        <w:rPr>
          <w:rFonts w:ascii="Calibri" w:hAnsi="Calibri"/>
          <w:color w:val="FF0000"/>
          <w:sz w:val="20"/>
          <w:szCs w:val="20"/>
        </w:rPr>
        <w:t>ETB</w:t>
      </w:r>
      <w:r w:rsidR="00225881" w:rsidRPr="00225881">
        <w:rPr>
          <w:rFonts w:ascii="Calibri" w:hAnsi="Calibri"/>
          <w:color w:val="FF0000"/>
          <w:sz w:val="20"/>
          <w:szCs w:val="20"/>
        </w:rPr>
        <w:t>/School/Centre</w:t>
      </w:r>
      <w:r w:rsidR="006D1AE0">
        <w:rPr>
          <w:rFonts w:ascii="Calibri" w:hAnsi="Calibri"/>
          <w:color w:val="000000"/>
          <w:sz w:val="20"/>
          <w:szCs w:val="20"/>
        </w:rPr>
        <w:t>/</w:t>
      </w:r>
      <w:r>
        <w:rPr>
          <w:rFonts w:ascii="Calibri" w:hAnsi="Calibri"/>
          <w:color w:val="000000"/>
          <w:sz w:val="20"/>
          <w:szCs w:val="20"/>
        </w:rPr>
        <w:t xml:space="preserve">board of management/an officer or employee of the </w:t>
      </w:r>
      <w:r w:rsidR="00225881" w:rsidRPr="00225881">
        <w:rPr>
          <w:rFonts w:ascii="Calibri" w:hAnsi="Calibri"/>
          <w:color w:val="FF0000"/>
          <w:sz w:val="20"/>
          <w:szCs w:val="20"/>
        </w:rPr>
        <w:t>ETB/School/Centre</w:t>
      </w:r>
      <w:r w:rsidRPr="00225881">
        <w:rPr>
          <w:rFonts w:ascii="Calibri" w:hAnsi="Calibri"/>
          <w:color w:val="FF0000"/>
          <w:sz w:val="20"/>
          <w:szCs w:val="20"/>
        </w:rPr>
        <w:t xml:space="preserve"> </w:t>
      </w:r>
      <w:r>
        <w:rPr>
          <w:rFonts w:ascii="Calibri" w:hAnsi="Calibri"/>
          <w:color w:val="000000"/>
          <w:sz w:val="20"/>
          <w:szCs w:val="20"/>
        </w:rPr>
        <w:t>(which may include a volunteer),</w:t>
      </w:r>
      <w:r w:rsidRPr="00262175">
        <w:rPr>
          <w:rFonts w:ascii="Calibri" w:hAnsi="Calibri"/>
          <w:color w:val="000000"/>
          <w:sz w:val="20"/>
          <w:szCs w:val="20"/>
        </w:rPr>
        <w:t xml:space="preserve"> all records relating to the individuals and incidents concerned should be preserved and should under no circumstances be deleted, destroyed or purged.  The records may be of great assistance to the </w:t>
      </w:r>
      <w:r w:rsidR="006D1AE0" w:rsidRPr="00225881">
        <w:rPr>
          <w:rFonts w:ascii="Calibri" w:hAnsi="Calibri"/>
          <w:color w:val="FF0000"/>
          <w:sz w:val="20"/>
          <w:szCs w:val="20"/>
        </w:rPr>
        <w:t>ETB</w:t>
      </w:r>
      <w:r w:rsidR="006D1AE0" w:rsidRPr="00225881">
        <w:rPr>
          <w:rFonts w:ascii="Calibri" w:hAnsi="Calibri"/>
          <w:color w:val="FF0000"/>
          <w:sz w:val="20"/>
          <w:szCs w:val="20"/>
        </w:rPr>
        <w:t>/School/Centre</w:t>
      </w:r>
      <w:r w:rsidR="006D1AE0" w:rsidRPr="00225881">
        <w:rPr>
          <w:rFonts w:ascii="Calibri" w:hAnsi="Calibri"/>
          <w:color w:val="FF0000"/>
          <w:sz w:val="20"/>
          <w:szCs w:val="20"/>
        </w:rPr>
        <w:t xml:space="preserve"> </w:t>
      </w:r>
      <w:r w:rsidRPr="00262175">
        <w:rPr>
          <w:rFonts w:ascii="Calibri" w:hAnsi="Calibri"/>
          <w:color w:val="000000"/>
          <w:sz w:val="20"/>
          <w:szCs w:val="20"/>
        </w:rPr>
        <w:t xml:space="preserve">in defending claims made in later years.  </w:t>
      </w:r>
      <w:r w:rsidR="006D1AE0">
        <w:rPr>
          <w:rFonts w:ascii="Calibri" w:hAnsi="Calibri"/>
          <w:color w:val="000000"/>
          <w:sz w:val="20"/>
          <w:szCs w:val="20"/>
        </w:rPr>
        <w:t xml:space="preserve"> </w:t>
      </w:r>
    </w:p>
    <w:p w:rsidR="00864017" w:rsidRDefault="00864017" w:rsidP="00864017">
      <w:pPr>
        <w:pStyle w:val="NormalWeb"/>
        <w:jc w:val="both"/>
        <w:rPr>
          <w:rFonts w:ascii="Calibri" w:hAnsi="Calibri"/>
          <w:color w:val="000000"/>
          <w:sz w:val="20"/>
          <w:szCs w:val="20"/>
        </w:rPr>
      </w:pPr>
      <w:r w:rsidRPr="00262175">
        <w:rPr>
          <w:rFonts w:ascii="Calibri" w:hAnsi="Calibri"/>
          <w:b/>
          <w:color w:val="000000"/>
          <w:sz w:val="20"/>
          <w:szCs w:val="20"/>
        </w:rPr>
        <w:t>WARNING</w:t>
      </w:r>
      <w:r w:rsidRPr="00262175">
        <w:rPr>
          <w:rFonts w:ascii="Calibri" w:hAnsi="Calibri"/>
          <w:color w:val="000000"/>
          <w:sz w:val="20"/>
          <w:szCs w:val="20"/>
        </w:rPr>
        <w:t xml:space="preserve">: In general, the limitation period does not begin to run until the person concerned acquires knowledge of the facts giving rise to the claim and the Statue of Limitations may be different in every case. In all cases where reference is made to “18 years” being the date upon which the relevant period set out in the Statute of Limitations commences for the purposes of litigation, the </w:t>
      </w:r>
      <w:r w:rsidR="006D1AE0" w:rsidRPr="00225881">
        <w:rPr>
          <w:rFonts w:ascii="Calibri" w:hAnsi="Calibri"/>
          <w:color w:val="FF0000"/>
          <w:sz w:val="20"/>
          <w:szCs w:val="20"/>
        </w:rPr>
        <w:t>ETB</w:t>
      </w:r>
      <w:r w:rsidR="00225881" w:rsidRPr="00225881">
        <w:rPr>
          <w:rFonts w:ascii="Calibri" w:hAnsi="Calibri"/>
          <w:color w:val="FF0000"/>
          <w:sz w:val="20"/>
          <w:szCs w:val="20"/>
        </w:rPr>
        <w:t>/School/Centre</w:t>
      </w:r>
      <w:r w:rsidRPr="00225881">
        <w:rPr>
          <w:rFonts w:ascii="Calibri" w:hAnsi="Calibri"/>
          <w:color w:val="FF0000"/>
          <w:sz w:val="20"/>
          <w:szCs w:val="20"/>
        </w:rPr>
        <w:t xml:space="preserve"> </w:t>
      </w:r>
      <w:r w:rsidRPr="00262175">
        <w:rPr>
          <w:rFonts w:ascii="Calibri" w:hAnsi="Calibri"/>
          <w:color w:val="000000"/>
          <w:sz w:val="20"/>
          <w:szCs w:val="20"/>
        </w:rPr>
        <w:t>must be aware that in some situations (such</w:t>
      </w:r>
      <w:r>
        <w:rPr>
          <w:rFonts w:ascii="Calibri" w:hAnsi="Calibri"/>
          <w:color w:val="000000"/>
          <w:sz w:val="20"/>
          <w:szCs w:val="20"/>
        </w:rPr>
        <w:t xml:space="preserve"> as</w:t>
      </w:r>
      <w:r w:rsidRPr="00262175">
        <w:rPr>
          <w:rFonts w:ascii="Calibri" w:hAnsi="Calibri"/>
          <w:color w:val="000000"/>
          <w:sz w:val="20"/>
          <w:szCs w:val="20"/>
        </w:rPr>
        <w:t xml:space="preserve"> the case of a student with special educational needs, or where the claim relates to child sexual abuse, or where the student has not become aware of the damage which they have suffered, and in some other circumstances), the Statute of Limitations </w:t>
      </w:r>
      <w:r w:rsidRPr="00262175">
        <w:rPr>
          <w:rFonts w:ascii="Calibri" w:hAnsi="Calibri"/>
          <w:b/>
          <w:color w:val="000000"/>
          <w:sz w:val="20"/>
          <w:szCs w:val="20"/>
        </w:rPr>
        <w:t>may not begin to run whe</w:t>
      </w:r>
      <w:r>
        <w:rPr>
          <w:rFonts w:ascii="Calibri" w:hAnsi="Calibri"/>
          <w:b/>
          <w:color w:val="000000"/>
          <w:sz w:val="20"/>
          <w:szCs w:val="20"/>
        </w:rPr>
        <w:t>n</w:t>
      </w:r>
      <w:r w:rsidRPr="00262175">
        <w:rPr>
          <w:rFonts w:ascii="Calibri" w:hAnsi="Calibri"/>
          <w:b/>
          <w:color w:val="000000"/>
          <w:sz w:val="20"/>
          <w:szCs w:val="20"/>
        </w:rPr>
        <w:t xml:space="preserve"> the student reaches </w:t>
      </w:r>
      <w:r>
        <w:rPr>
          <w:rFonts w:ascii="Calibri" w:hAnsi="Calibri"/>
          <w:b/>
          <w:color w:val="000000"/>
          <w:sz w:val="20"/>
          <w:szCs w:val="20"/>
        </w:rPr>
        <w:t>18 years of age</w:t>
      </w:r>
      <w:r w:rsidRPr="00262175">
        <w:rPr>
          <w:rFonts w:ascii="Calibri" w:hAnsi="Calibri"/>
          <w:b/>
          <w:color w:val="000000"/>
          <w:sz w:val="20"/>
          <w:szCs w:val="20"/>
        </w:rPr>
        <w:t xml:space="preserve"> and specific legal advice </w:t>
      </w:r>
      <w:r>
        <w:rPr>
          <w:rFonts w:ascii="Calibri" w:hAnsi="Calibri"/>
          <w:b/>
          <w:color w:val="000000"/>
          <w:sz w:val="20"/>
          <w:szCs w:val="20"/>
        </w:rPr>
        <w:t>should</w:t>
      </w:r>
      <w:r w:rsidRPr="00262175">
        <w:rPr>
          <w:rFonts w:ascii="Calibri" w:hAnsi="Calibri"/>
          <w:b/>
          <w:color w:val="000000"/>
          <w:sz w:val="20"/>
          <w:szCs w:val="20"/>
        </w:rPr>
        <w:t xml:space="preserve"> be sought by </w:t>
      </w:r>
      <w:r w:rsidR="00225881" w:rsidRPr="00225881">
        <w:rPr>
          <w:rFonts w:ascii="Calibri" w:hAnsi="Calibri"/>
          <w:color w:val="FF0000"/>
          <w:sz w:val="20"/>
          <w:szCs w:val="20"/>
        </w:rPr>
        <w:t>ETB/School/Centre</w:t>
      </w:r>
      <w:r w:rsidRPr="00225881">
        <w:rPr>
          <w:rFonts w:ascii="Calibri" w:hAnsi="Calibri"/>
          <w:b/>
          <w:color w:val="FF0000"/>
          <w:sz w:val="20"/>
          <w:szCs w:val="20"/>
        </w:rPr>
        <w:t xml:space="preserve"> </w:t>
      </w:r>
      <w:r w:rsidRPr="00262175">
        <w:rPr>
          <w:rFonts w:ascii="Calibri" w:hAnsi="Calibri"/>
          <w:b/>
          <w:color w:val="000000"/>
          <w:sz w:val="20"/>
          <w:szCs w:val="20"/>
        </w:rPr>
        <w:t xml:space="preserve">on a case-by-case basis.  </w:t>
      </w:r>
      <w:r w:rsidRPr="00262175">
        <w:rPr>
          <w:rFonts w:ascii="Calibri" w:hAnsi="Calibri"/>
          <w:color w:val="000000"/>
          <w:sz w:val="20"/>
          <w:szCs w:val="20"/>
        </w:rPr>
        <w:t xml:space="preserve">In all cases where retention periods have been recommended with reference to the relevant statutory period in which an individual can make a claim, these time-frames may not apply where there has been misrepresentation, deception or fraud on the part of the respondent/defendant.  In such a circumstance, the </w:t>
      </w:r>
      <w:r w:rsidR="00225881" w:rsidRPr="00225881">
        <w:rPr>
          <w:rFonts w:ascii="Calibri" w:hAnsi="Calibri"/>
          <w:color w:val="FF0000"/>
          <w:sz w:val="20"/>
          <w:szCs w:val="20"/>
        </w:rPr>
        <w:t xml:space="preserve">ETB/School/Centre </w:t>
      </w:r>
      <w:r w:rsidRPr="00262175">
        <w:rPr>
          <w:rFonts w:ascii="Calibri" w:hAnsi="Calibri"/>
          <w:color w:val="000000"/>
          <w:sz w:val="20"/>
          <w:szCs w:val="20"/>
        </w:rPr>
        <w:t xml:space="preserve">should be aware that the claim could arise many years </w:t>
      </w:r>
      <w:r>
        <w:rPr>
          <w:rFonts w:ascii="Calibri" w:hAnsi="Calibri"/>
          <w:color w:val="000000"/>
          <w:sz w:val="20"/>
          <w:szCs w:val="20"/>
        </w:rPr>
        <w:t>after</w:t>
      </w:r>
      <w:r w:rsidRPr="00262175">
        <w:rPr>
          <w:rFonts w:ascii="Calibri" w:hAnsi="Calibri"/>
          <w:color w:val="000000"/>
          <w:sz w:val="20"/>
          <w:szCs w:val="20"/>
        </w:rPr>
        <w:t xml:space="preserve"> the incident complained of and the courts/tribunals/employment fora may not consider the complainant to be “out of time” to make their claim.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47"/>
        <w:gridCol w:w="992"/>
        <w:gridCol w:w="992"/>
        <w:gridCol w:w="1134"/>
        <w:gridCol w:w="993"/>
        <w:gridCol w:w="1275"/>
        <w:gridCol w:w="1985"/>
      </w:tblGrid>
      <w:tr w:rsidR="00BB1E55" w:rsidRPr="00262175" w:rsidTr="00BB1E55">
        <w:trPr>
          <w:trHeight w:val="877"/>
        </w:trPr>
        <w:tc>
          <w:tcPr>
            <w:tcW w:w="2547" w:type="dxa"/>
            <w:shd w:val="clear" w:color="auto" w:fill="B8CCE4"/>
          </w:tcPr>
          <w:p w:rsidR="00BB1E55" w:rsidRDefault="00864017" w:rsidP="000F2FEB">
            <w:pPr>
              <w:spacing w:after="0"/>
              <w:rPr>
                <w:b/>
                <w:sz w:val="20"/>
                <w:szCs w:val="20"/>
              </w:rPr>
            </w:pPr>
            <w:r>
              <w:rPr>
                <w:rFonts w:ascii="Calibri" w:hAnsi="Calibri"/>
                <w:color w:val="000000"/>
                <w:sz w:val="20"/>
                <w:szCs w:val="20"/>
              </w:rPr>
              <w:br w:type="page"/>
            </w:r>
            <w:r w:rsidRPr="00262175">
              <w:rPr>
                <w:b/>
                <w:sz w:val="20"/>
                <w:szCs w:val="20"/>
              </w:rPr>
              <w:t>Records relating to</w:t>
            </w:r>
          </w:p>
          <w:p w:rsidR="00864017" w:rsidRDefault="00BB1E55" w:rsidP="000F2FEB">
            <w:pPr>
              <w:spacing w:after="0"/>
              <w:rPr>
                <w:b/>
                <w:sz w:val="20"/>
                <w:szCs w:val="20"/>
              </w:rPr>
            </w:pPr>
            <w:r>
              <w:rPr>
                <w:b/>
                <w:sz w:val="20"/>
                <w:szCs w:val="20"/>
              </w:rPr>
              <w:t>1.  Staff and Volunteers</w:t>
            </w:r>
          </w:p>
          <w:p w:rsidR="00BB1E55" w:rsidRDefault="00BB1E55" w:rsidP="000F2FEB">
            <w:pPr>
              <w:spacing w:after="0"/>
              <w:rPr>
                <w:b/>
                <w:sz w:val="20"/>
                <w:szCs w:val="20"/>
              </w:rPr>
            </w:pPr>
            <w:r>
              <w:rPr>
                <w:b/>
                <w:sz w:val="20"/>
                <w:szCs w:val="20"/>
              </w:rPr>
              <w:t>2.  ETB Students/Trainees/</w:t>
            </w:r>
          </w:p>
          <w:p w:rsidR="00BB1E55" w:rsidRDefault="00BB1E55" w:rsidP="000F2FEB">
            <w:pPr>
              <w:spacing w:after="0"/>
              <w:rPr>
                <w:b/>
                <w:sz w:val="20"/>
                <w:szCs w:val="20"/>
              </w:rPr>
            </w:pPr>
            <w:r>
              <w:rPr>
                <w:b/>
                <w:sz w:val="20"/>
                <w:szCs w:val="20"/>
              </w:rPr>
              <w:t xml:space="preserve">      Adult Learners</w:t>
            </w:r>
          </w:p>
          <w:p w:rsidR="00BB1E55" w:rsidRPr="00262175" w:rsidRDefault="00BB1E55" w:rsidP="000F2FEB">
            <w:pPr>
              <w:spacing w:after="0"/>
              <w:rPr>
                <w:b/>
                <w:sz w:val="20"/>
                <w:szCs w:val="20"/>
              </w:rPr>
            </w:pPr>
            <w:r>
              <w:rPr>
                <w:b/>
                <w:sz w:val="20"/>
                <w:szCs w:val="20"/>
              </w:rPr>
              <w:t>3.  ETB Contractors.</w:t>
            </w:r>
          </w:p>
          <w:p w:rsidR="00864017" w:rsidRPr="00262175" w:rsidRDefault="00864017" w:rsidP="000F2FEB">
            <w:pPr>
              <w:spacing w:after="0"/>
              <w:rPr>
                <w:b/>
                <w:sz w:val="20"/>
                <w:szCs w:val="20"/>
              </w:rPr>
            </w:pPr>
          </w:p>
        </w:tc>
        <w:tc>
          <w:tcPr>
            <w:tcW w:w="992" w:type="dxa"/>
            <w:shd w:val="clear" w:color="auto" w:fill="B8CCE4"/>
          </w:tcPr>
          <w:p w:rsidR="00864017" w:rsidRPr="00262175" w:rsidRDefault="00864017" w:rsidP="000F2FEB">
            <w:pPr>
              <w:spacing w:after="0"/>
              <w:rPr>
                <w:sz w:val="20"/>
                <w:szCs w:val="20"/>
              </w:rPr>
            </w:pPr>
            <w:r>
              <w:rPr>
                <w:sz w:val="20"/>
                <w:szCs w:val="20"/>
              </w:rPr>
              <w:t>Primary</w:t>
            </w:r>
          </w:p>
        </w:tc>
        <w:tc>
          <w:tcPr>
            <w:tcW w:w="992" w:type="dxa"/>
            <w:shd w:val="clear" w:color="auto" w:fill="B8CCE4"/>
          </w:tcPr>
          <w:p w:rsidR="00864017" w:rsidRPr="00262175" w:rsidRDefault="00864017" w:rsidP="000F2FEB">
            <w:pPr>
              <w:spacing w:after="0"/>
              <w:rPr>
                <w:sz w:val="20"/>
                <w:szCs w:val="20"/>
              </w:rPr>
            </w:pPr>
            <w:proofErr w:type="spellStart"/>
            <w:r>
              <w:rPr>
                <w:sz w:val="20"/>
                <w:szCs w:val="20"/>
              </w:rPr>
              <w:t>Vol</w:t>
            </w:r>
            <w:proofErr w:type="spellEnd"/>
            <w:r w:rsidR="00BB1E55">
              <w:rPr>
                <w:sz w:val="20"/>
                <w:szCs w:val="20"/>
              </w:rPr>
              <w:t xml:space="preserve"> </w:t>
            </w:r>
            <w:r>
              <w:rPr>
                <w:sz w:val="20"/>
                <w:szCs w:val="20"/>
              </w:rPr>
              <w:t>Sec</w:t>
            </w:r>
          </w:p>
        </w:tc>
        <w:tc>
          <w:tcPr>
            <w:tcW w:w="1134" w:type="dxa"/>
            <w:shd w:val="clear" w:color="auto" w:fill="B8CCE4"/>
          </w:tcPr>
          <w:p w:rsidR="00864017" w:rsidRPr="00262175" w:rsidRDefault="00864017" w:rsidP="000F2FEB">
            <w:pPr>
              <w:spacing w:after="0"/>
              <w:rPr>
                <w:sz w:val="20"/>
                <w:szCs w:val="20"/>
              </w:rPr>
            </w:pPr>
            <w:r>
              <w:rPr>
                <w:sz w:val="20"/>
                <w:szCs w:val="20"/>
              </w:rPr>
              <w:t>C&amp;C</w:t>
            </w:r>
          </w:p>
        </w:tc>
        <w:tc>
          <w:tcPr>
            <w:tcW w:w="993" w:type="dxa"/>
            <w:shd w:val="clear" w:color="auto" w:fill="B8CCE4"/>
          </w:tcPr>
          <w:p w:rsidR="00864017" w:rsidRPr="00262175" w:rsidRDefault="00864017" w:rsidP="000F2FEB">
            <w:pPr>
              <w:spacing w:after="0"/>
              <w:rPr>
                <w:sz w:val="20"/>
                <w:szCs w:val="20"/>
              </w:rPr>
            </w:pPr>
            <w:r>
              <w:rPr>
                <w:sz w:val="20"/>
                <w:szCs w:val="20"/>
              </w:rPr>
              <w:t>ETB</w:t>
            </w:r>
          </w:p>
        </w:tc>
        <w:tc>
          <w:tcPr>
            <w:tcW w:w="1275" w:type="dxa"/>
            <w:shd w:val="clear" w:color="auto" w:fill="B8CCE4"/>
          </w:tcPr>
          <w:p w:rsidR="00864017" w:rsidRPr="00262175" w:rsidRDefault="00864017" w:rsidP="000F2FEB">
            <w:pPr>
              <w:spacing w:after="0"/>
              <w:rPr>
                <w:b/>
                <w:sz w:val="20"/>
                <w:szCs w:val="20"/>
              </w:rPr>
            </w:pPr>
            <w:r w:rsidRPr="00262175">
              <w:rPr>
                <w:b/>
                <w:sz w:val="20"/>
                <w:szCs w:val="20"/>
              </w:rPr>
              <w:t>Confidential shredding</w:t>
            </w:r>
          </w:p>
        </w:tc>
        <w:tc>
          <w:tcPr>
            <w:tcW w:w="1985" w:type="dxa"/>
            <w:shd w:val="clear" w:color="auto" w:fill="B8CCE4"/>
          </w:tcPr>
          <w:p w:rsidR="00864017" w:rsidRPr="00654D85" w:rsidRDefault="00864017" w:rsidP="000F2FEB">
            <w:pPr>
              <w:spacing w:after="0"/>
              <w:rPr>
                <w:b/>
                <w:sz w:val="20"/>
                <w:szCs w:val="20"/>
              </w:rPr>
            </w:pPr>
            <w:r w:rsidRPr="00654D85">
              <w:rPr>
                <w:b/>
                <w:sz w:val="20"/>
                <w:szCs w:val="20"/>
              </w:rPr>
              <w:t xml:space="preserve">Comments </w:t>
            </w:r>
          </w:p>
        </w:tc>
      </w:tr>
      <w:tr w:rsidR="00BB1E55" w:rsidRPr="00262175" w:rsidTr="00BB1E55">
        <w:trPr>
          <w:trHeight w:val="1560"/>
        </w:trPr>
        <w:tc>
          <w:tcPr>
            <w:tcW w:w="2547" w:type="dxa"/>
            <w:tcBorders>
              <w:top w:val="single" w:sz="4" w:space="0" w:color="auto"/>
              <w:left w:val="single" w:sz="4" w:space="0" w:color="auto"/>
              <w:bottom w:val="single" w:sz="4" w:space="0" w:color="auto"/>
              <w:right w:val="single" w:sz="4" w:space="0" w:color="auto"/>
            </w:tcBorders>
          </w:tcPr>
          <w:p w:rsidR="00864017" w:rsidRPr="00262175" w:rsidRDefault="00864017" w:rsidP="00864017">
            <w:pPr>
              <w:spacing w:after="0"/>
              <w:rPr>
                <w:sz w:val="20"/>
                <w:szCs w:val="20"/>
              </w:rPr>
            </w:pPr>
            <w:r>
              <w:rPr>
                <w:sz w:val="20"/>
                <w:szCs w:val="20"/>
              </w:rPr>
              <w:t>Garda vetting form &amp; outcome.</w:t>
            </w:r>
          </w:p>
        </w:tc>
        <w:tc>
          <w:tcPr>
            <w:tcW w:w="992" w:type="dxa"/>
            <w:tcBorders>
              <w:top w:val="single" w:sz="4" w:space="0" w:color="auto"/>
              <w:left w:val="single" w:sz="4" w:space="0" w:color="auto"/>
              <w:bottom w:val="single" w:sz="4" w:space="0" w:color="auto"/>
              <w:right w:val="single" w:sz="4" w:space="0" w:color="auto"/>
            </w:tcBorders>
          </w:tcPr>
          <w:p w:rsidR="00864017" w:rsidRPr="00262175" w:rsidRDefault="00864017" w:rsidP="000F2FEB">
            <w:pPr>
              <w:spacing w:after="0"/>
              <w:rPr>
                <w:b/>
                <w:color w:val="FF0000"/>
                <w:sz w:val="20"/>
                <w:szCs w:val="20"/>
              </w:rPr>
            </w:pPr>
            <w:r w:rsidRPr="00262175">
              <w:rPr>
                <w:sz w:val="20"/>
                <w:szCs w:val="20"/>
              </w:rPr>
              <w:t>N/A</w:t>
            </w:r>
            <w:r w:rsidRPr="009E62ED">
              <w:rPr>
                <w:sz w:val="20"/>
                <w:szCs w:val="20"/>
              </w:rPr>
              <w:t xml:space="preserve"> </w:t>
            </w:r>
            <w:r w:rsidRPr="009E62ED">
              <w:rPr>
                <w:b/>
                <w:sz w:val="20"/>
                <w:szCs w:val="20"/>
              </w:rPr>
              <w:t>as primary schools pupils will not be undergoing vetting</w:t>
            </w:r>
          </w:p>
        </w:tc>
        <w:tc>
          <w:tcPr>
            <w:tcW w:w="992" w:type="dxa"/>
            <w:tcBorders>
              <w:top w:val="single" w:sz="4" w:space="0" w:color="auto"/>
              <w:left w:val="single" w:sz="4" w:space="0" w:color="auto"/>
              <w:bottom w:val="single" w:sz="4" w:space="0" w:color="auto"/>
              <w:right w:val="single" w:sz="4" w:space="0" w:color="auto"/>
            </w:tcBorders>
          </w:tcPr>
          <w:p w:rsidR="00864017" w:rsidRPr="00262175" w:rsidRDefault="00864017" w:rsidP="000F2FEB">
            <w:pPr>
              <w:rPr>
                <w:sz w:val="20"/>
                <w:szCs w:val="20"/>
              </w:rPr>
            </w:pPr>
            <w:r w:rsidRPr="00262175">
              <w:rPr>
                <w:sz w:val="20"/>
                <w:szCs w:val="20"/>
              </w:rPr>
              <w:t xml:space="preserve">Record of outcome retained for 12 months. </w:t>
            </w:r>
          </w:p>
        </w:tc>
        <w:tc>
          <w:tcPr>
            <w:tcW w:w="1134" w:type="dxa"/>
            <w:tcBorders>
              <w:top w:val="single" w:sz="4" w:space="0" w:color="auto"/>
              <w:left w:val="single" w:sz="4" w:space="0" w:color="auto"/>
              <w:bottom w:val="single" w:sz="4" w:space="0" w:color="auto"/>
              <w:right w:val="single" w:sz="4" w:space="0" w:color="auto"/>
            </w:tcBorders>
          </w:tcPr>
          <w:p w:rsidR="00864017" w:rsidRPr="00262175" w:rsidRDefault="00864017" w:rsidP="000F2FEB">
            <w:pPr>
              <w:rPr>
                <w:sz w:val="20"/>
                <w:szCs w:val="20"/>
              </w:rPr>
            </w:pPr>
            <w:r w:rsidRPr="00262175">
              <w:rPr>
                <w:sz w:val="20"/>
                <w:szCs w:val="20"/>
              </w:rPr>
              <w:t xml:space="preserve">Record of outcome retained for 12 months. </w:t>
            </w:r>
          </w:p>
        </w:tc>
        <w:tc>
          <w:tcPr>
            <w:tcW w:w="993" w:type="dxa"/>
            <w:tcBorders>
              <w:top w:val="single" w:sz="4" w:space="0" w:color="auto"/>
              <w:left w:val="single" w:sz="4" w:space="0" w:color="auto"/>
              <w:bottom w:val="single" w:sz="4" w:space="0" w:color="auto"/>
              <w:right w:val="single" w:sz="4" w:space="0" w:color="auto"/>
            </w:tcBorders>
          </w:tcPr>
          <w:p w:rsidR="00864017" w:rsidRPr="00262175" w:rsidRDefault="00864017" w:rsidP="000F2FEB">
            <w:pPr>
              <w:rPr>
                <w:sz w:val="20"/>
                <w:szCs w:val="20"/>
              </w:rPr>
            </w:pPr>
            <w:r w:rsidRPr="00262175">
              <w:rPr>
                <w:sz w:val="20"/>
                <w:szCs w:val="20"/>
              </w:rPr>
              <w:t xml:space="preserve">Record of outcome retained for 12 months. </w:t>
            </w:r>
          </w:p>
        </w:tc>
        <w:tc>
          <w:tcPr>
            <w:tcW w:w="1275" w:type="dxa"/>
            <w:tcBorders>
              <w:top w:val="single" w:sz="4" w:space="0" w:color="auto"/>
              <w:left w:val="single" w:sz="4" w:space="0" w:color="auto"/>
              <w:bottom w:val="single" w:sz="4" w:space="0" w:color="auto"/>
              <w:right w:val="single" w:sz="4" w:space="0" w:color="auto"/>
            </w:tcBorders>
          </w:tcPr>
          <w:p w:rsidR="00864017" w:rsidRPr="00262175" w:rsidRDefault="00864017" w:rsidP="000F2FEB">
            <w:pPr>
              <w:spacing w:after="0"/>
              <w:rPr>
                <w:sz w:val="20"/>
                <w:szCs w:val="20"/>
              </w:rPr>
            </w:pPr>
            <w:r w:rsidRPr="00262175">
              <w:rPr>
                <w:sz w:val="20"/>
                <w:szCs w:val="20"/>
              </w:rPr>
              <w:t>Confidential shredding</w:t>
            </w:r>
          </w:p>
        </w:tc>
        <w:tc>
          <w:tcPr>
            <w:tcW w:w="1985" w:type="dxa"/>
            <w:tcBorders>
              <w:top w:val="single" w:sz="4" w:space="0" w:color="auto"/>
              <w:left w:val="single" w:sz="4" w:space="0" w:color="auto"/>
              <w:bottom w:val="single" w:sz="4" w:space="0" w:color="auto"/>
              <w:right w:val="single" w:sz="4" w:space="0" w:color="auto"/>
            </w:tcBorders>
          </w:tcPr>
          <w:p w:rsidR="00864017" w:rsidRPr="00262175" w:rsidRDefault="00864017" w:rsidP="000F2FEB">
            <w:pPr>
              <w:spacing w:after="0"/>
              <w:rPr>
                <w:sz w:val="20"/>
                <w:szCs w:val="20"/>
              </w:rPr>
            </w:pPr>
            <w:r w:rsidRPr="00262175">
              <w:rPr>
                <w:sz w:val="20"/>
                <w:szCs w:val="20"/>
              </w:rPr>
              <w:t xml:space="preserve">Record of outcome retained for 12 months. </w:t>
            </w:r>
            <w:r w:rsidR="006D1AE0" w:rsidRPr="00225881">
              <w:rPr>
                <w:rFonts w:ascii="Calibri" w:hAnsi="Calibri"/>
                <w:color w:val="FF0000"/>
                <w:sz w:val="20"/>
                <w:szCs w:val="20"/>
              </w:rPr>
              <w:t>ETB</w:t>
            </w:r>
            <w:r w:rsidR="006D1AE0" w:rsidRPr="00225881">
              <w:rPr>
                <w:rFonts w:ascii="Calibri" w:hAnsi="Calibri"/>
                <w:color w:val="FF0000"/>
                <w:sz w:val="20"/>
                <w:szCs w:val="20"/>
              </w:rPr>
              <w:t xml:space="preserve">/School/Centre </w:t>
            </w:r>
            <w:r w:rsidRPr="00262175">
              <w:rPr>
                <w:sz w:val="20"/>
                <w:szCs w:val="20"/>
              </w:rPr>
              <w:t xml:space="preserve">to retain the reference number and date of disclosure on file, which can be checked with An Garda </w:t>
            </w:r>
            <w:proofErr w:type="spellStart"/>
            <w:r w:rsidRPr="00262175">
              <w:rPr>
                <w:sz w:val="20"/>
                <w:szCs w:val="20"/>
              </w:rPr>
              <w:t>Siochana</w:t>
            </w:r>
            <w:proofErr w:type="spellEnd"/>
            <w:r w:rsidRPr="00262175">
              <w:rPr>
                <w:sz w:val="20"/>
                <w:szCs w:val="20"/>
              </w:rPr>
              <w:t xml:space="preserve"> in the future.  </w:t>
            </w:r>
          </w:p>
        </w:tc>
      </w:tr>
    </w:tbl>
    <w:p w:rsidR="00BB1E55" w:rsidRDefault="00BB1E55" w:rsidP="00BB1E55"/>
    <w:p w:rsidR="002006AE" w:rsidRDefault="002006AE" w:rsidP="00BB1E55">
      <w:proofErr w:type="gramStart"/>
      <w:r>
        <w:t>Abstract  from</w:t>
      </w:r>
      <w:proofErr w:type="gramEnd"/>
      <w:r>
        <w:t xml:space="preserve"> </w:t>
      </w:r>
      <w:hyperlink r:id="rId4" w:history="1">
        <w:r w:rsidRPr="00E41248">
          <w:rPr>
            <w:rStyle w:val="Hyperlink"/>
          </w:rPr>
          <w:t>www.dataprote</w:t>
        </w:r>
        <w:r w:rsidRPr="00E41248">
          <w:rPr>
            <w:rStyle w:val="Hyperlink"/>
          </w:rPr>
          <w:t>c</w:t>
        </w:r>
        <w:r w:rsidRPr="00E41248">
          <w:rPr>
            <w:rStyle w:val="Hyperlink"/>
          </w:rPr>
          <w:t>tionschools.ie</w:t>
        </w:r>
      </w:hyperlink>
      <w:r>
        <w:t xml:space="preserve"> (Resources/Records Retention Schedule)</w:t>
      </w:r>
      <w:bookmarkStart w:id="0" w:name="_GoBack"/>
      <w:bookmarkEnd w:id="0"/>
    </w:p>
    <w:sectPr w:rsidR="002006AE" w:rsidSect="00BB1E55">
      <w:pgSz w:w="11906" w:h="16838"/>
      <w:pgMar w:top="1134" w:right="1440"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017"/>
    <w:rsid w:val="000F0E61"/>
    <w:rsid w:val="002006AE"/>
    <w:rsid w:val="00225881"/>
    <w:rsid w:val="006D1AE0"/>
    <w:rsid w:val="00864017"/>
    <w:rsid w:val="00BB1E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AC14D-112A-4492-A70B-CD24E1AD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6401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ubtitles1">
    <w:name w:val="subtitles1"/>
    <w:uiPriority w:val="99"/>
    <w:rsid w:val="00864017"/>
    <w:rPr>
      <w:rFonts w:ascii="Verdana" w:hAnsi="Verdana" w:cs="Times New Roman"/>
      <w:b/>
      <w:bCs/>
      <w:color w:val="0B1966"/>
      <w:sz w:val="29"/>
      <w:szCs w:val="29"/>
    </w:rPr>
  </w:style>
  <w:style w:type="character" w:styleId="Hyperlink">
    <w:name w:val="Hyperlink"/>
    <w:basedOn w:val="DefaultParagraphFont"/>
    <w:uiPriority w:val="99"/>
    <w:unhideWhenUsed/>
    <w:rsid w:val="002006AE"/>
    <w:rPr>
      <w:color w:val="0563C1" w:themeColor="hyperlink"/>
      <w:u w:val="single"/>
    </w:rPr>
  </w:style>
  <w:style w:type="character" w:styleId="FollowedHyperlink">
    <w:name w:val="FollowedHyperlink"/>
    <w:basedOn w:val="DefaultParagraphFont"/>
    <w:uiPriority w:val="99"/>
    <w:semiHidden/>
    <w:unhideWhenUsed/>
    <w:rsid w:val="002006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ataprotectionschool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Doherty</dc:creator>
  <cp:keywords/>
  <dc:description/>
  <cp:lastModifiedBy>Eileen Doherty</cp:lastModifiedBy>
  <cp:revision>3</cp:revision>
  <dcterms:created xsi:type="dcterms:W3CDTF">2017-07-19T20:24:00Z</dcterms:created>
  <dcterms:modified xsi:type="dcterms:W3CDTF">2017-07-19T20:49:00Z</dcterms:modified>
</cp:coreProperties>
</file>