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E2CA8" w:rsidRDefault="008E2CA8" w:rsidP="008E2CA8">
      <w:pPr>
        <w:ind w:right="-426"/>
        <w:jc w:val="right"/>
        <w:rPr>
          <w:b/>
          <w:sz w:val="28"/>
          <w:szCs w:val="28"/>
        </w:rPr>
      </w:pPr>
      <w:r w:rsidRPr="005167D4">
        <w:rPr>
          <w:rFonts w:ascii="Georgia" w:hAnsi="Georgia"/>
          <w:noProof/>
        </w:rPr>
        <w:drawing>
          <wp:inline distT="0" distB="0" distL="0" distR="0" wp14:anchorId="0A70D1A2" wp14:editId="2526D92B">
            <wp:extent cx="2237937" cy="828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438" cy="8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A11" w:rsidRDefault="00476041" w:rsidP="008E2CA8">
      <w:pPr>
        <w:ind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Risk</w:t>
      </w:r>
      <w:r w:rsidR="002567FD">
        <w:rPr>
          <w:b/>
          <w:sz w:val="28"/>
          <w:szCs w:val="28"/>
        </w:rPr>
        <w:t xml:space="preserve"> Assessment for National Vetting</w:t>
      </w:r>
    </w:p>
    <w:p w:rsidR="00686A11" w:rsidRDefault="00686A11">
      <w:pPr>
        <w:jc w:val="both"/>
      </w:pPr>
    </w:p>
    <w:p w:rsidR="00686A11" w:rsidRDefault="00476041">
      <w:pPr>
        <w:jc w:val="both"/>
        <w:rPr>
          <w:u w:val="single"/>
        </w:rPr>
      </w:pPr>
      <w:r>
        <w:rPr>
          <w:b/>
        </w:rPr>
        <w:t>Work Activity to be assessed</w:t>
      </w:r>
      <w:proofErr w:type="gramStart"/>
      <w:r>
        <w:t>:_</w:t>
      </w:r>
      <w:proofErr w:type="gramEnd"/>
      <w:r>
        <w:t>____________________________</w:t>
      </w:r>
    </w:p>
    <w:p w:rsidR="00686A11" w:rsidRDefault="00686A11">
      <w:pPr>
        <w:jc w:val="both"/>
      </w:pPr>
    </w:p>
    <w:p w:rsidR="00686A11" w:rsidRDefault="00476041">
      <w:pPr>
        <w:jc w:val="both"/>
      </w:pPr>
      <w:r>
        <w:rPr>
          <w:b/>
        </w:rPr>
        <w:t>Name of Person / Contractors</w:t>
      </w:r>
      <w:proofErr w:type="gramStart"/>
      <w:r>
        <w:t>:_</w:t>
      </w:r>
      <w:proofErr w:type="gramEnd"/>
      <w:r>
        <w:t>___________________________</w:t>
      </w:r>
    </w:p>
    <w:p w:rsidR="00686A11" w:rsidRDefault="00686A11">
      <w:pPr>
        <w:jc w:val="both"/>
      </w:pPr>
    </w:p>
    <w:p w:rsidR="00686A11" w:rsidRDefault="00476041">
      <w:pPr>
        <w:jc w:val="both"/>
      </w:pPr>
      <w:r>
        <w:t xml:space="preserve">Persons who are considered for employment and/or delivery of services with </w:t>
      </w:r>
      <w:r w:rsidR="008E2CA8">
        <w:t>Dublin and Dun Laoghaire Education and Training Board (DDLETB)</w:t>
      </w:r>
      <w:r>
        <w:t>, or with its Affiliated Organisations must have the course and/or the work require</w:t>
      </w:r>
      <w:r w:rsidR="008E2CA8">
        <w:t xml:space="preserve">d vetted in accordance with DDLETB’s </w:t>
      </w:r>
      <w:r>
        <w:t xml:space="preserve">Vetting Policy which is underpinned by the National Vetting Bureau (Children and Vulnerable Persons) Acts 2012 to 2016.  </w:t>
      </w:r>
    </w:p>
    <w:p w:rsidR="00686A11" w:rsidRDefault="00686A11">
      <w:pPr>
        <w:jc w:val="both"/>
      </w:pPr>
    </w:p>
    <w:p w:rsidR="00686A11" w:rsidRDefault="00476041">
      <w:pPr>
        <w:tabs>
          <w:tab w:val="left" w:pos="709"/>
          <w:tab w:val="left" w:pos="1276"/>
          <w:tab w:val="left" w:pos="1843"/>
        </w:tabs>
        <w:jc w:val="both"/>
      </w:pPr>
      <w:bookmarkStart w:id="0" w:name="_gjdgxs" w:colFirst="0" w:colLast="0"/>
      <w:bookmarkEnd w:id="0"/>
      <w:r>
        <w:t xml:space="preserve">Any work or activity which is carried out by a person, a </w:t>
      </w:r>
      <w:r>
        <w:rPr>
          <w:b/>
        </w:rPr>
        <w:t>necessary</w:t>
      </w:r>
      <w:r>
        <w:t xml:space="preserve"> and </w:t>
      </w:r>
      <w:r>
        <w:rPr>
          <w:b/>
        </w:rPr>
        <w:t xml:space="preserve">regular </w:t>
      </w:r>
      <w:r>
        <w:t xml:space="preserve">part of which </w:t>
      </w:r>
      <w:r>
        <w:rPr>
          <w:b/>
        </w:rPr>
        <w:t>consists mainly of</w:t>
      </w:r>
      <w:r>
        <w:t xml:space="preserve"> the person having access to, or contact with, children or vulnerable adults (see </w:t>
      </w:r>
      <w:r w:rsidR="00BD4293">
        <w:t>Glossary of Term of the</w:t>
      </w:r>
      <w:r>
        <w:t xml:space="preserve"> Vetting Policy for definition) will require the person to be vetted in accordance with the above Act and in accordance with procedures as prescribed by the National Vetting Bureau.</w:t>
      </w:r>
    </w:p>
    <w:p w:rsidR="00686A11" w:rsidRDefault="00686A11">
      <w:pPr>
        <w:tabs>
          <w:tab w:val="left" w:pos="709"/>
          <w:tab w:val="left" w:pos="1276"/>
          <w:tab w:val="left" w:pos="1843"/>
        </w:tabs>
        <w:jc w:val="both"/>
      </w:pPr>
    </w:p>
    <w:p w:rsidR="00686A11" w:rsidRDefault="00476041">
      <w:pPr>
        <w:tabs>
          <w:tab w:val="left" w:pos="709"/>
          <w:tab w:val="left" w:pos="1276"/>
          <w:tab w:val="left" w:pos="1843"/>
        </w:tabs>
        <w:jc w:val="both"/>
      </w:pPr>
      <w:r>
        <w:t xml:space="preserve">Where it is deemed possible (3 rating) or upwards, vetting will be required prior to the person commencing work on site.  </w:t>
      </w:r>
    </w:p>
    <w:p w:rsidR="00686A11" w:rsidRDefault="00476041">
      <w:pPr>
        <w:jc w:val="both"/>
      </w:pPr>
      <w:r>
        <w:t xml:space="preserve">                                                                                                              </w:t>
      </w:r>
    </w:p>
    <w:tbl>
      <w:tblPr>
        <w:tblStyle w:val="a"/>
        <w:tblW w:w="9072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6"/>
        <w:gridCol w:w="1438"/>
        <w:gridCol w:w="1559"/>
        <w:gridCol w:w="1559"/>
      </w:tblGrid>
      <w:tr w:rsidR="00686A11" w:rsidTr="0082134D">
        <w:tc>
          <w:tcPr>
            <w:tcW w:w="4516" w:type="dxa"/>
          </w:tcPr>
          <w:p w:rsidR="00686A11" w:rsidRDefault="00476041">
            <w:pPr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Will the work or activity, a </w:t>
            </w:r>
            <w:r w:rsidRPr="0082134D">
              <w:rPr>
                <w:b/>
              </w:rPr>
              <w:t>necessary and regular part of which consists mainly of the person having access</w:t>
            </w:r>
            <w:r>
              <w:rPr>
                <w:b/>
              </w:rPr>
              <w:t xml:space="preserve"> or contact to, or with children or vulnerable adults</w:t>
            </w:r>
          </w:p>
          <w:p w:rsidR="00686A11" w:rsidRDefault="00686A11">
            <w:pPr>
              <w:contextualSpacing w:val="0"/>
              <w:jc w:val="both"/>
              <w:rPr>
                <w:b/>
              </w:rPr>
            </w:pPr>
          </w:p>
        </w:tc>
        <w:tc>
          <w:tcPr>
            <w:tcW w:w="1438" w:type="dxa"/>
          </w:tcPr>
          <w:p w:rsidR="00686A11" w:rsidRDefault="00476041">
            <w:pPr>
              <w:contextualSpacing w:val="0"/>
              <w:jc w:val="both"/>
              <w:rPr>
                <w:b/>
              </w:rPr>
            </w:pPr>
            <w:r>
              <w:rPr>
                <w:b/>
              </w:rPr>
              <w:t>Rating (insert number)</w:t>
            </w:r>
          </w:p>
        </w:tc>
        <w:tc>
          <w:tcPr>
            <w:tcW w:w="1559" w:type="dxa"/>
          </w:tcPr>
          <w:p w:rsidR="005E6BAF" w:rsidRDefault="00476041">
            <w:pPr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Vetting Required </w:t>
            </w:r>
          </w:p>
          <w:p w:rsidR="005E6BAF" w:rsidRDefault="005E6BAF">
            <w:pPr>
              <w:contextualSpacing w:val="0"/>
              <w:jc w:val="both"/>
              <w:rPr>
                <w:b/>
              </w:rPr>
            </w:pPr>
          </w:p>
          <w:p w:rsidR="00686A11" w:rsidRDefault="00476041">
            <w:pPr>
              <w:contextualSpacing w:val="0"/>
              <w:jc w:val="both"/>
              <w:rPr>
                <w:b/>
              </w:rPr>
            </w:pPr>
            <w:r>
              <w:rPr>
                <w:b/>
              </w:rPr>
              <w:t>Y/N</w:t>
            </w:r>
          </w:p>
        </w:tc>
        <w:tc>
          <w:tcPr>
            <w:tcW w:w="1559" w:type="dxa"/>
          </w:tcPr>
          <w:p w:rsidR="00686A11" w:rsidRDefault="00476041">
            <w:pPr>
              <w:contextualSpacing w:val="0"/>
              <w:jc w:val="both"/>
              <w:rPr>
                <w:b/>
              </w:rPr>
            </w:pPr>
            <w:r>
              <w:rPr>
                <w:b/>
              </w:rPr>
              <w:t>Forms given to persons / contractor</w:t>
            </w:r>
          </w:p>
          <w:p w:rsidR="005E6BAF" w:rsidRDefault="005E6BAF">
            <w:pPr>
              <w:contextualSpacing w:val="0"/>
              <w:jc w:val="both"/>
              <w:rPr>
                <w:b/>
              </w:rPr>
            </w:pPr>
          </w:p>
          <w:p w:rsidR="00686A11" w:rsidRDefault="00476041">
            <w:pPr>
              <w:contextualSpacing w:val="0"/>
              <w:jc w:val="both"/>
              <w:rPr>
                <w:b/>
              </w:rPr>
            </w:pPr>
            <w:r>
              <w:rPr>
                <w:b/>
              </w:rPr>
              <w:t>Y/N</w:t>
            </w:r>
          </w:p>
        </w:tc>
      </w:tr>
      <w:tr w:rsidR="00686A11" w:rsidTr="0082134D">
        <w:tc>
          <w:tcPr>
            <w:tcW w:w="4516" w:type="dxa"/>
          </w:tcPr>
          <w:p w:rsidR="00686A11" w:rsidRDefault="00476041">
            <w:pPr>
              <w:contextualSpacing w:val="0"/>
              <w:jc w:val="both"/>
            </w:pPr>
            <w:r>
              <w:t>Almost Certain    (5)</w:t>
            </w:r>
          </w:p>
          <w:p w:rsidR="00686A11" w:rsidRDefault="00686A11">
            <w:pPr>
              <w:contextualSpacing w:val="0"/>
              <w:jc w:val="both"/>
            </w:pPr>
          </w:p>
        </w:tc>
        <w:tc>
          <w:tcPr>
            <w:tcW w:w="1438" w:type="dxa"/>
          </w:tcPr>
          <w:p w:rsidR="00686A11" w:rsidRDefault="00686A11">
            <w:pPr>
              <w:contextualSpacing w:val="0"/>
              <w:jc w:val="both"/>
            </w:pPr>
          </w:p>
        </w:tc>
        <w:tc>
          <w:tcPr>
            <w:tcW w:w="1559" w:type="dxa"/>
          </w:tcPr>
          <w:p w:rsidR="00686A11" w:rsidRDefault="00686A11">
            <w:pPr>
              <w:contextualSpacing w:val="0"/>
              <w:jc w:val="both"/>
            </w:pPr>
          </w:p>
        </w:tc>
        <w:tc>
          <w:tcPr>
            <w:tcW w:w="1559" w:type="dxa"/>
          </w:tcPr>
          <w:p w:rsidR="00686A11" w:rsidRDefault="00686A11">
            <w:pPr>
              <w:contextualSpacing w:val="0"/>
              <w:jc w:val="both"/>
            </w:pPr>
          </w:p>
        </w:tc>
      </w:tr>
      <w:tr w:rsidR="00686A11" w:rsidTr="0082134D">
        <w:tc>
          <w:tcPr>
            <w:tcW w:w="4516" w:type="dxa"/>
          </w:tcPr>
          <w:p w:rsidR="00686A11" w:rsidRDefault="00476041">
            <w:pPr>
              <w:contextualSpacing w:val="0"/>
              <w:jc w:val="both"/>
            </w:pPr>
            <w:r>
              <w:t>Likely                  (4)</w:t>
            </w:r>
          </w:p>
          <w:p w:rsidR="00686A11" w:rsidRDefault="00686A11">
            <w:pPr>
              <w:contextualSpacing w:val="0"/>
              <w:jc w:val="both"/>
            </w:pPr>
          </w:p>
        </w:tc>
        <w:tc>
          <w:tcPr>
            <w:tcW w:w="1438" w:type="dxa"/>
          </w:tcPr>
          <w:p w:rsidR="00686A11" w:rsidRDefault="00686A11">
            <w:pPr>
              <w:contextualSpacing w:val="0"/>
              <w:jc w:val="both"/>
            </w:pPr>
          </w:p>
        </w:tc>
        <w:tc>
          <w:tcPr>
            <w:tcW w:w="1559" w:type="dxa"/>
          </w:tcPr>
          <w:p w:rsidR="00686A11" w:rsidRDefault="00686A11">
            <w:pPr>
              <w:contextualSpacing w:val="0"/>
              <w:jc w:val="both"/>
            </w:pPr>
          </w:p>
        </w:tc>
        <w:tc>
          <w:tcPr>
            <w:tcW w:w="1559" w:type="dxa"/>
          </w:tcPr>
          <w:p w:rsidR="00686A11" w:rsidRDefault="00686A11">
            <w:pPr>
              <w:contextualSpacing w:val="0"/>
              <w:jc w:val="both"/>
            </w:pPr>
          </w:p>
        </w:tc>
      </w:tr>
      <w:tr w:rsidR="00686A11" w:rsidTr="0082134D">
        <w:tc>
          <w:tcPr>
            <w:tcW w:w="4516" w:type="dxa"/>
          </w:tcPr>
          <w:p w:rsidR="00686A11" w:rsidRDefault="00476041">
            <w:pPr>
              <w:contextualSpacing w:val="0"/>
              <w:jc w:val="both"/>
            </w:pPr>
            <w:r>
              <w:t>Possible              (3)</w:t>
            </w:r>
          </w:p>
          <w:p w:rsidR="00686A11" w:rsidRDefault="00686A11">
            <w:pPr>
              <w:contextualSpacing w:val="0"/>
              <w:jc w:val="both"/>
            </w:pPr>
          </w:p>
        </w:tc>
        <w:tc>
          <w:tcPr>
            <w:tcW w:w="1438" w:type="dxa"/>
          </w:tcPr>
          <w:p w:rsidR="00686A11" w:rsidRDefault="00686A11">
            <w:pPr>
              <w:contextualSpacing w:val="0"/>
              <w:jc w:val="both"/>
            </w:pPr>
          </w:p>
        </w:tc>
        <w:tc>
          <w:tcPr>
            <w:tcW w:w="1559" w:type="dxa"/>
          </w:tcPr>
          <w:p w:rsidR="00686A11" w:rsidRDefault="00686A11">
            <w:pPr>
              <w:contextualSpacing w:val="0"/>
              <w:jc w:val="both"/>
            </w:pPr>
          </w:p>
        </w:tc>
        <w:tc>
          <w:tcPr>
            <w:tcW w:w="1559" w:type="dxa"/>
          </w:tcPr>
          <w:p w:rsidR="00686A11" w:rsidRDefault="00686A11">
            <w:pPr>
              <w:contextualSpacing w:val="0"/>
              <w:jc w:val="both"/>
            </w:pPr>
          </w:p>
        </w:tc>
      </w:tr>
      <w:tr w:rsidR="00686A11" w:rsidTr="0082134D">
        <w:tc>
          <w:tcPr>
            <w:tcW w:w="4516" w:type="dxa"/>
          </w:tcPr>
          <w:p w:rsidR="00686A11" w:rsidRDefault="00476041">
            <w:pPr>
              <w:contextualSpacing w:val="0"/>
              <w:jc w:val="both"/>
            </w:pPr>
            <w:r>
              <w:t>Not likely             (2)</w:t>
            </w:r>
          </w:p>
          <w:p w:rsidR="00686A11" w:rsidRDefault="00686A11">
            <w:pPr>
              <w:contextualSpacing w:val="0"/>
              <w:jc w:val="both"/>
            </w:pPr>
          </w:p>
        </w:tc>
        <w:tc>
          <w:tcPr>
            <w:tcW w:w="1438" w:type="dxa"/>
          </w:tcPr>
          <w:p w:rsidR="00686A11" w:rsidRDefault="00686A11">
            <w:pPr>
              <w:contextualSpacing w:val="0"/>
              <w:jc w:val="both"/>
            </w:pPr>
          </w:p>
        </w:tc>
        <w:tc>
          <w:tcPr>
            <w:tcW w:w="1559" w:type="dxa"/>
          </w:tcPr>
          <w:p w:rsidR="00686A11" w:rsidRDefault="00686A11">
            <w:pPr>
              <w:contextualSpacing w:val="0"/>
              <w:jc w:val="both"/>
            </w:pPr>
          </w:p>
        </w:tc>
        <w:tc>
          <w:tcPr>
            <w:tcW w:w="1559" w:type="dxa"/>
          </w:tcPr>
          <w:p w:rsidR="00686A11" w:rsidRDefault="00686A11">
            <w:pPr>
              <w:contextualSpacing w:val="0"/>
              <w:jc w:val="both"/>
            </w:pPr>
          </w:p>
        </w:tc>
      </w:tr>
      <w:tr w:rsidR="00686A11" w:rsidTr="0082134D">
        <w:tc>
          <w:tcPr>
            <w:tcW w:w="4516" w:type="dxa"/>
          </w:tcPr>
          <w:p w:rsidR="00686A11" w:rsidRDefault="00476041">
            <w:pPr>
              <w:contextualSpacing w:val="0"/>
              <w:jc w:val="both"/>
            </w:pPr>
            <w:r>
              <w:t>Rare or Remote  (1)</w:t>
            </w:r>
          </w:p>
          <w:p w:rsidR="00686A11" w:rsidRDefault="00686A11">
            <w:pPr>
              <w:contextualSpacing w:val="0"/>
              <w:jc w:val="both"/>
            </w:pPr>
          </w:p>
        </w:tc>
        <w:tc>
          <w:tcPr>
            <w:tcW w:w="1438" w:type="dxa"/>
          </w:tcPr>
          <w:p w:rsidR="00686A11" w:rsidRDefault="00686A11">
            <w:pPr>
              <w:contextualSpacing w:val="0"/>
              <w:jc w:val="both"/>
            </w:pPr>
          </w:p>
        </w:tc>
        <w:tc>
          <w:tcPr>
            <w:tcW w:w="1559" w:type="dxa"/>
          </w:tcPr>
          <w:p w:rsidR="00686A11" w:rsidRDefault="00686A11">
            <w:pPr>
              <w:contextualSpacing w:val="0"/>
              <w:jc w:val="both"/>
            </w:pPr>
          </w:p>
        </w:tc>
        <w:tc>
          <w:tcPr>
            <w:tcW w:w="1559" w:type="dxa"/>
          </w:tcPr>
          <w:p w:rsidR="00686A11" w:rsidRDefault="00686A11">
            <w:pPr>
              <w:contextualSpacing w:val="0"/>
              <w:jc w:val="both"/>
            </w:pPr>
          </w:p>
        </w:tc>
      </w:tr>
    </w:tbl>
    <w:p w:rsidR="00686A11" w:rsidRDefault="00686A11">
      <w:pPr>
        <w:jc w:val="both"/>
      </w:pPr>
    </w:p>
    <w:p w:rsidR="00686A11" w:rsidRDefault="00476041">
      <w:pPr>
        <w:jc w:val="both"/>
        <w:rPr>
          <w:b/>
        </w:rPr>
      </w:pPr>
      <w:r>
        <w:rPr>
          <w:b/>
        </w:rPr>
        <w:t>Rating has not been applied for the following reason (please tick);</w:t>
      </w:r>
    </w:p>
    <w:p w:rsidR="00686A11" w:rsidRDefault="0047604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>
                <wp:simplePos x="0" y="0"/>
                <wp:positionH relativeFrom="margin">
                  <wp:posOffset>2070100</wp:posOffset>
                </wp:positionH>
                <wp:positionV relativeFrom="paragraph">
                  <wp:posOffset>101600</wp:posOffset>
                </wp:positionV>
                <wp:extent cx="279400" cy="2286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5217412" y="3675225"/>
                          <a:ext cx="257175" cy="209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86A11" w:rsidRDefault="00686A1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163pt;margin-top:8pt;width:22pt;height:18pt;flip:x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ZaDAIAAC4EAAAOAAAAZHJzL2Uyb0RvYy54bWysU9uO0zAQfUfiHyy/01xoWho13YctC0gI&#10;Vlr4gKntNJZ8k+1t0r9n7JTdLvCAEC/WTHxyPHPOzPZm0oqchA/Smo5Wi5ISYZjl0hw7+v3b3Zt3&#10;lIQIhoOyRnT0LAK92b1+tR1dK2o7WMWFJ0hiQju6jg4xurYoAhuEhrCwThi87K3XEDH1x4J7GJFd&#10;q6Iuy1UxWs+dt0yEgF/38yXdZf6+Fyx+7fsgIlEdxdpiPn0+D+ksdltojx7cINmlDPiHKjRIg48+&#10;Ue0hAnn08jcqLZm3wfZxwawubN9LJnIP2E1V/tLNwwBO5F5QnOCeZAr/j5Z9Od17InlHa0oMaLQo&#10;aTK60OLVg7v3lyxgmBqceq9Jr6T7iHbnlrEJMnW0qav1skKWc0ffrtZNXTezumKKhCGgbtbVuqGE&#10;IaAuN81yk+6LmTJROx/iB2E1SUFHPZqXH4DT5xBn6E9IggerJL+TSuUkDYy4VZ6cAK1WsbqQv0Ap&#10;Q8ZUyLLEWWCA89YriBhqhwoEc8zvvfglT+IzMTAmTFz9iTzVtocwzBVkklkAbx8Nx/qhHQTw94aT&#10;eHYotMGNoKkgLTglSuACpSgjI0j1N0iUTxlUMRk2W5SiOB0mpEnhwfIzOqw+GZyaTbVEV0i8Tvx1&#10;crhOwLDB4q6w6CmZk9uYdyeZkchxKLODlwVKU3+dZ9Tzmu9+AAAA//8DAFBLAwQUAAYACAAAACEA&#10;GYW5et4AAAAJAQAADwAAAGRycy9kb3ducmV2LnhtbEyPQU/DMAyF70j8h8hIXBBL1okBpek0gYrg&#10;hDoqzllj2orGKU3WlX+Pd4KTbb2n5+9lm9n1YsIxdJ40LBcKBFLtbUeNhuq9uL4DEaIha3pPqOEH&#10;A2zy87PMpNYfqcRpFxvBIRRSo6GNcUilDHWLzoSFH5BY+/SjM5HPsZF2NEcOd71MlFpLZzriD60Z&#10;8LHF+mt3cBo+nl7fyuJbbavw/KKm8n55hVWh9eXFvH0AEXGOf2Y44TM65My09weyQfQaVsmau0QW&#10;TpMNq1vFy17DTaJA5pn83yD/BQAA//8DAFBLAQItABQABgAIAAAAIQC2gziS/gAAAOEBAAATAAAA&#10;AAAAAAAAAAAAAAAAAABbQ29udGVudF9UeXBlc10ueG1sUEsBAi0AFAAGAAgAAAAhADj9If/WAAAA&#10;lAEAAAsAAAAAAAAAAAAAAAAALwEAAF9yZWxzLy5yZWxzUEsBAi0AFAAGAAgAAAAhAAtuBloMAgAA&#10;LgQAAA4AAAAAAAAAAAAAAAAALgIAAGRycy9lMm9Eb2MueG1sUEsBAi0AFAAGAAgAAAAhABmFuXre&#10;AAAACQEAAA8AAAAAAAAAAAAAAAAAZgQAAGRycy9kb3ducmV2LnhtbFBLBQYAAAAABAAEAPMAAABx&#10;BQAAAAA=&#10;" o:allowincell="f" fillcolor="white [3201]" strokecolor="#70ad47 [3209]" strokeweight="2pt">
                <v:stroke joinstyle="round"/>
                <v:textbox inset="2.53958mm,2.53958mm,2.53958mm,2.53958mm">
                  <w:txbxContent>
                    <w:p w:rsidR="00686A11" w:rsidRDefault="00686A11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>
                <wp:simplePos x="0" y="0"/>
                <wp:positionH relativeFrom="margin">
                  <wp:posOffset>5435600</wp:posOffset>
                </wp:positionH>
                <wp:positionV relativeFrom="paragraph">
                  <wp:posOffset>101600</wp:posOffset>
                </wp:positionV>
                <wp:extent cx="279400" cy="22860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5217412" y="3675225"/>
                          <a:ext cx="257175" cy="209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86A11" w:rsidRDefault="00686A1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428pt;margin-top:8pt;width:22pt;height:18pt;flip:x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aJDwIAADUEAAAOAAAAZHJzL2Uyb0RvYy54bWysU9uO0zAQfUfiHyy/01xoWho13YctC0gI&#10;Vlr4gKntNJZ8k+1t0r9n7JTdLvCAEC/WTHxyPHPOzPZm0oqchA/Smo5Wi5ISYZjl0hw7+v3b3Zt3&#10;lIQIhoOyRnT0LAK92b1+tR1dK2o7WMWFJ0hiQju6jg4xurYoAhuEhrCwThi87K3XEDH1x4J7GJFd&#10;q6Iuy1UxWs+dt0yEgF/38yXdZf6+Fyx+7fsgIlEdxdpiPn0+D+ksdltojx7cINmlDPiHKjRIg48+&#10;Ue0hAnn08jcqLZm3wfZxwawubN9LJnIP2E1V/tLNwwBO5F5QnOCeZAr/j5Z9Od17InlH31JiQKNF&#10;SZPRhRavHty9v2QBw9Tg1HtNeiXdR7Q7t4xNkKmjTV2tl1VNyRm5VuumrptZXTFFwhBQN+tq3VDC&#10;EFCXm2a5SffFTJmonQ/xg7CapKCjHs3LD8Dpc4gz9CckwYNVkt9JpXKSBkbcKk9OgFarWF3IX6CU&#10;IWMqZFniLDDAeesVRAy1QwWCOeb3XvySJ/GZGBgTJq7+RJ5q20MY5goyySyAt4+GY/3QDgL4e8NJ&#10;PDsU2uBG0FSQFpwSJXCBUpSREaT6GyTKpwyqmAybLUpRnA5TNjWrkL4cLD+j0eqTweHZVEs0h8Tr&#10;xF8nh+sEDBssrgyLnpI5uY15hZIniRxnMxt52aM0/Nd5Rj1v++4HAAAA//8DAFBLAwQUAAYACAAA&#10;ACEACNrEKt4AAAAJAQAADwAAAGRycy9kb3ducmV2LnhtbEyPQU/DMAyF70j8h8hIXBBLNmnT1jWd&#10;JlARnFBHtXPWmLaicUqTdeXf453gZFvv6fl76W5ynRhxCK0nDfOZAoFUedtSraH8yB/XIEI0ZE3n&#10;CTX8YIBddnuTmsT6CxU4HmItOIRCYjQ0MfaJlKFq0Jkw8z0Sa59+cCbyOdTSDubC4a6TC6VW0pmW&#10;+ENjenxqsPo6nJ2G4/Pbe5F/q30ZXl7VWGzmD1jmWt/fTfstiIhT/DPDFZ/RIWOmkz+TDaLTsF6u&#10;uEtk4TrZsFGKl5OG5UKBzFL5v0H2CwAA//8DAFBLAQItABQABgAIAAAAIQC2gziS/gAAAOEBAAAT&#10;AAAAAAAAAAAAAAAAAAAAAABbQ29udGVudF9UeXBlc10ueG1sUEsBAi0AFAAGAAgAAAAhADj9If/W&#10;AAAAlAEAAAsAAAAAAAAAAAAAAAAALwEAAF9yZWxzLy5yZWxzUEsBAi0AFAAGAAgAAAAhAHhyZokP&#10;AgAANQQAAA4AAAAAAAAAAAAAAAAALgIAAGRycy9lMm9Eb2MueG1sUEsBAi0AFAAGAAgAAAAhAAja&#10;xCreAAAACQEAAA8AAAAAAAAAAAAAAAAAaQQAAGRycy9kb3ducmV2LnhtbFBLBQYAAAAABAAEAPMA&#10;AAB0BQAAAAA=&#10;" o:allowincell="f" fillcolor="white [3201]" strokecolor="#70ad47 [3209]" strokeweight="2pt">
                <v:stroke joinstyle="round"/>
                <v:textbox inset="2.53958mm,2.53958mm,2.53958mm,2.53958mm">
                  <w:txbxContent>
                    <w:p w:rsidR="00686A11" w:rsidRDefault="00686A11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6A11" w:rsidRDefault="00476041">
      <w:pPr>
        <w:jc w:val="both"/>
      </w:pPr>
      <w:r>
        <w:t xml:space="preserve">Work area cordoned / closed off             Work / activities carried out after normal hours  </w:t>
      </w:r>
    </w:p>
    <w:p w:rsidR="00686A11" w:rsidRDefault="00686A11">
      <w:pPr>
        <w:jc w:val="both"/>
      </w:pPr>
    </w:p>
    <w:p w:rsidR="00686A11" w:rsidRDefault="00686A11">
      <w:pPr>
        <w:jc w:val="both"/>
      </w:pPr>
    </w:p>
    <w:p w:rsidR="00686A11" w:rsidRDefault="00476041">
      <w:pPr>
        <w:jc w:val="both"/>
      </w:pPr>
      <w:r>
        <w:t>I confirm that the contractor / individual has been informed that National Vetting is required and that appropriate forms have been distributed on _______________________ (insert date).</w:t>
      </w:r>
    </w:p>
    <w:p w:rsidR="00686A11" w:rsidRDefault="00686A11">
      <w:pPr>
        <w:jc w:val="both"/>
      </w:pPr>
    </w:p>
    <w:p w:rsidR="00686A11" w:rsidRDefault="00476041">
      <w:pPr>
        <w:jc w:val="both"/>
      </w:pPr>
      <w:r>
        <w:t xml:space="preserve">I also confirm that the person will not commence work on site until such time as the vetting is complete and a copy of this form is forwarded to </w:t>
      </w:r>
      <w:r w:rsidR="008E2CA8">
        <w:t>DDLETB</w:t>
      </w:r>
      <w:r w:rsidR="0082134D">
        <w:t xml:space="preserve"> </w:t>
      </w:r>
      <w:r>
        <w:t>HR Department for the attention of the Liaison Person.</w:t>
      </w:r>
      <w:bookmarkStart w:id="1" w:name="_GoBack"/>
      <w:bookmarkEnd w:id="1"/>
    </w:p>
    <w:p w:rsidR="00686A11" w:rsidRDefault="00686A11">
      <w:pPr>
        <w:jc w:val="both"/>
      </w:pPr>
    </w:p>
    <w:p w:rsidR="00686A11" w:rsidRDefault="00476041">
      <w:pPr>
        <w:jc w:val="both"/>
      </w:pPr>
      <w:r>
        <w:t>Signed</w:t>
      </w:r>
      <w:proofErr w:type="gramStart"/>
      <w:r>
        <w:t>:_</w:t>
      </w:r>
      <w:proofErr w:type="gramEnd"/>
      <w:r>
        <w:t>________________________     Title:_______________           Date:___________</w:t>
      </w:r>
    </w:p>
    <w:p w:rsidR="00686A11" w:rsidRDefault="0047604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(Print Name)                               </w:t>
      </w:r>
    </w:p>
    <w:p w:rsidR="00686A11" w:rsidRDefault="00686A11">
      <w:pPr>
        <w:jc w:val="both"/>
      </w:pPr>
    </w:p>
    <w:p w:rsidR="008E2CA8" w:rsidRDefault="008E2CA8">
      <w:pPr>
        <w:jc w:val="both"/>
      </w:pPr>
    </w:p>
    <w:p w:rsidR="00686A11" w:rsidRDefault="00476041">
      <w:pPr>
        <w:jc w:val="both"/>
      </w:pPr>
      <w:r>
        <w:t>Signed</w:t>
      </w:r>
      <w:proofErr w:type="gramStart"/>
      <w:r>
        <w:t>:_</w:t>
      </w:r>
      <w:proofErr w:type="gramEnd"/>
      <w:r>
        <w:t>________________________     Title:_______________           Date:___________</w:t>
      </w:r>
    </w:p>
    <w:p w:rsidR="00686A11" w:rsidRDefault="00476041">
      <w:pPr>
        <w:jc w:val="both"/>
      </w:pPr>
      <w:r>
        <w:rPr>
          <w:sz w:val="18"/>
          <w:szCs w:val="18"/>
        </w:rPr>
        <w:t>(Print Name)</w:t>
      </w:r>
    </w:p>
    <w:sectPr w:rsidR="00686A11">
      <w:headerReference w:type="default" r:id="rId7"/>
      <w:pgSz w:w="11906" w:h="16838"/>
      <w:pgMar w:top="709" w:right="1133" w:bottom="56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FCA" w:rsidRDefault="00476041">
      <w:r>
        <w:separator/>
      </w:r>
    </w:p>
  </w:endnote>
  <w:endnote w:type="continuationSeparator" w:id="0">
    <w:p w:rsidR="00E96FCA" w:rsidRDefault="0047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FCA" w:rsidRDefault="00476041">
      <w:r>
        <w:separator/>
      </w:r>
    </w:p>
  </w:footnote>
  <w:footnote w:type="continuationSeparator" w:id="0">
    <w:p w:rsidR="00E96FCA" w:rsidRDefault="00476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A11" w:rsidRDefault="00686A11">
    <w:pPr>
      <w:tabs>
        <w:tab w:val="center" w:pos="4513"/>
        <w:tab w:val="right" w:pos="9026"/>
      </w:tabs>
      <w:spacing w:befor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86A11"/>
    <w:rsid w:val="002567FD"/>
    <w:rsid w:val="00476041"/>
    <w:rsid w:val="005E6BAF"/>
    <w:rsid w:val="00686A11"/>
    <w:rsid w:val="0082134D"/>
    <w:rsid w:val="008E2CA8"/>
    <w:rsid w:val="00BD4293"/>
    <w:rsid w:val="00E9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34AC06-E17D-47E7-A7E8-D4A33B10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IE" w:eastAsia="en-I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Doherty</dc:creator>
  <cp:lastModifiedBy>Pauline Murphy (HR Manager)</cp:lastModifiedBy>
  <cp:revision>7</cp:revision>
  <dcterms:created xsi:type="dcterms:W3CDTF">2017-04-01T13:04:00Z</dcterms:created>
  <dcterms:modified xsi:type="dcterms:W3CDTF">2018-03-06T07:52:00Z</dcterms:modified>
</cp:coreProperties>
</file>