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E2EDC" w14:textId="77777777" w:rsidR="00CB478F" w:rsidRPr="005C32FA" w:rsidRDefault="00CB478F" w:rsidP="00CB478F">
      <w:pPr>
        <w:pStyle w:val="Heading1"/>
        <w:spacing w:before="0" w:after="0" w:line="240" w:lineRule="auto"/>
        <w:rPr>
          <w:rFonts w:asciiTheme="minorHAnsi" w:hAnsiTheme="minorHAnsi"/>
        </w:rPr>
      </w:pPr>
      <w:r w:rsidRPr="005C32FA">
        <w:rPr>
          <w:lang w:bidi="ga-IE"/>
        </w:rPr>
        <w:t>Beartas um obair duine le duine leis an mac léinn</w:t>
      </w:r>
    </w:p>
    <w:p w14:paraId="028E2EDD" w14:textId="77777777" w:rsidR="00CB478F" w:rsidRPr="005C32FA" w:rsidRDefault="00CB478F" w:rsidP="00CB478F">
      <w:pPr>
        <w:pStyle w:val="Heading2"/>
        <w:spacing w:before="0" w:line="240" w:lineRule="auto"/>
        <w:rPr>
          <w:rFonts w:asciiTheme="minorHAnsi" w:hAnsiTheme="minorHAnsi"/>
        </w:rPr>
      </w:pPr>
      <w:r w:rsidRPr="005C32FA">
        <w:rPr>
          <w:lang w:bidi="ga-IE"/>
        </w:rPr>
        <w:t xml:space="preserve">Cuspóir </w:t>
      </w:r>
    </w:p>
    <w:p w14:paraId="028E2EDE" w14:textId="77777777" w:rsidR="00CB478F" w:rsidRPr="005C32FA" w:rsidRDefault="00CB478F" w:rsidP="00CB478F">
      <w:pPr>
        <w:spacing w:after="0" w:line="240" w:lineRule="auto"/>
      </w:pPr>
      <w:r w:rsidRPr="005C32FA">
        <w:rPr>
          <w:lang w:bidi="ga-IE"/>
        </w:rPr>
        <w:t>Is é cuspóir an bheartais seo ná treoir a leagan síos do bhainistiú agus do chur i bhfeidhm cosaintí ionaid Ógtheagmhála Bhord Oideachais agus Oiliúna Bhaile Átha Cliath agus Dhún Laoghaire (BOOÁCDL) agus iad ag obair duine le duine le mic léinn. Nuair a thagann cásanna duine le duine chun cinn, tá sé tábhachtach go mbeadh beartais, nósanna imeachta agus treoirlínte i bhfeidhm de réir na reachtaíochta chun mic léinn agus baill foirne a chosaint agus iad san ionad agus amach as (turais srl.).</w:t>
      </w:r>
    </w:p>
    <w:p w14:paraId="028E2EDF" w14:textId="77777777" w:rsidR="00CB478F" w:rsidRPr="005C32FA" w:rsidRDefault="00CB478F" w:rsidP="00CB478F">
      <w:pPr>
        <w:spacing w:after="0" w:line="240" w:lineRule="auto"/>
      </w:pPr>
      <w:r w:rsidRPr="005C32FA">
        <w:rPr>
          <w:lang w:bidi="ga-IE"/>
        </w:rPr>
        <w:t xml:space="preserve">D'fhorbair Ógtheagmháil BOOÁCDL an polasaí seo chun soiléiriú a dhéanamh ar an mbealach is fearr le tabhairt faoi chásanna a thagann chun cinn nuair a bhíonn baill foirne i gcásanna duine le duine le mic léinn. Ní mór don fhoireann agus do mhic léinn a bheith ar an eolas faoin bpolasaí seo, na Treoirlínte um Chaomhnú Leanaí, an Ráiteas um Chosaint Leanaí (léirithe san ionad) chun a chinntiú go bhfuil gach dlí, ionchas gairmiúil agus beartais BOOÁCDL i bhfeidhm sna cásanna seo. </w:t>
      </w:r>
    </w:p>
    <w:p w14:paraId="028E2EE0" w14:textId="77777777" w:rsidR="00CB478F" w:rsidRPr="005C32FA" w:rsidRDefault="00CB478F" w:rsidP="00CB478F">
      <w:pPr>
        <w:spacing w:after="0" w:line="240" w:lineRule="auto"/>
      </w:pPr>
      <w:r w:rsidRPr="005C32FA">
        <w:rPr>
          <w:lang w:bidi="ga-IE"/>
        </w:rPr>
        <w:t xml:space="preserve">Tá freagracht shoiléir mhorálta agus dhlíthiúil ag an bhfoireann go léir atá ag obair san ionad Ógtheagmhála seo as a chinntiú go bhfuil ceart bunúsach ag gach duine óg a ghlacann páirt i seirbhís na heagraíochta ar thimpeallacht shábháilte ina bhfuil sé/sí cosanta, saor ó aon chineál díobhála, mí-úsáide nó faillí. Ní mór gach ball foirne, mac léinn, tuismitheoir/caomhnóir a chur ar an eolas faoi conas teacht ar bheartais, treoirlínte agus nósanna imeachta Ógtheagmhála BOOÁCDL maidir le cosaint leanaí. </w:t>
      </w:r>
    </w:p>
    <w:p w14:paraId="028E2EE1" w14:textId="77777777" w:rsidR="00CB478F" w:rsidRPr="005C32FA" w:rsidRDefault="00CB478F" w:rsidP="00CB478F">
      <w:pPr>
        <w:pStyle w:val="Heading2"/>
        <w:spacing w:before="0" w:line="240" w:lineRule="auto"/>
        <w:rPr>
          <w:rFonts w:asciiTheme="minorHAnsi" w:hAnsiTheme="minorHAnsi"/>
        </w:rPr>
      </w:pPr>
      <w:r w:rsidRPr="005C32FA">
        <w:rPr>
          <w:lang w:bidi="ga-IE"/>
        </w:rPr>
        <w:t xml:space="preserve">Raon feidhme </w:t>
      </w:r>
    </w:p>
    <w:p w14:paraId="028E2EE2" w14:textId="77777777" w:rsidR="00CB478F" w:rsidRPr="005C32FA" w:rsidRDefault="00CB478F" w:rsidP="00CB478F">
      <w:pPr>
        <w:spacing w:after="0" w:line="240" w:lineRule="auto"/>
      </w:pPr>
      <w:r w:rsidRPr="005C32FA">
        <w:rPr>
          <w:lang w:bidi="ga-IE"/>
        </w:rPr>
        <w:t>Baineann raon feidhme an bheartais seo le foireann agus mic léinn BOOÁCDL agus le daoine lasmuigh de BOOÁCDL a oibríonn i gcáil ghairmiúil laistigh d’ionad (gníomhaireachtaí seachtracha srl.).</w:t>
      </w:r>
    </w:p>
    <w:p w14:paraId="028E2EE3" w14:textId="77777777" w:rsidR="00CB478F" w:rsidRPr="005C32FA" w:rsidRDefault="00CB478F" w:rsidP="00CB478F">
      <w:pPr>
        <w:pStyle w:val="Heading2"/>
        <w:spacing w:before="0" w:line="240" w:lineRule="auto"/>
        <w:rPr>
          <w:rFonts w:asciiTheme="minorHAnsi" w:hAnsiTheme="minorHAnsi"/>
        </w:rPr>
      </w:pPr>
      <w:r w:rsidRPr="005C32FA">
        <w:rPr>
          <w:lang w:bidi="ga-IE"/>
        </w:rPr>
        <w:t>Róil agus Freagrachtaí</w:t>
      </w:r>
    </w:p>
    <w:p w14:paraId="028E2EE4" w14:textId="77777777" w:rsidR="00CB478F" w:rsidRPr="005C32FA" w:rsidRDefault="00CB478F" w:rsidP="00CB478F">
      <w:pPr>
        <w:pStyle w:val="ListParagraph"/>
        <w:numPr>
          <w:ilvl w:val="0"/>
          <w:numId w:val="4"/>
        </w:numPr>
        <w:spacing w:after="0" w:line="240" w:lineRule="auto"/>
      </w:pPr>
      <w:r w:rsidRPr="005C32FA">
        <w:rPr>
          <w:lang w:bidi="ga-IE"/>
        </w:rPr>
        <w:t>An Bord Bainistíochta - An beartas a athbhreithniú agus a fhaomhadh ar bhonn tréimhsiúil.</w:t>
      </w:r>
    </w:p>
    <w:p w14:paraId="028E2EE5" w14:textId="77777777" w:rsidR="00CB478F" w:rsidRPr="005C32FA" w:rsidRDefault="00CB478F" w:rsidP="00CB478F">
      <w:pPr>
        <w:pStyle w:val="ListParagraph"/>
        <w:numPr>
          <w:ilvl w:val="0"/>
          <w:numId w:val="4"/>
        </w:numPr>
        <w:spacing w:after="0" w:line="240" w:lineRule="auto"/>
      </w:pPr>
      <w:r w:rsidRPr="005C32FA">
        <w:rPr>
          <w:lang w:bidi="ga-IE"/>
        </w:rPr>
        <w:t>Bainisteoirí - A chinntiú go gcloíonn an fhoireann leis an mbeartas agus go bhfuil siad go hiomlán feasach ar gach nós imeachta agus treoir maidir le cosaint leanaí.</w:t>
      </w:r>
    </w:p>
    <w:p w14:paraId="028E2EE6" w14:textId="77777777" w:rsidR="00CB478F" w:rsidRPr="005C32FA" w:rsidRDefault="00CB478F" w:rsidP="00CB478F">
      <w:pPr>
        <w:pStyle w:val="ListParagraph"/>
        <w:numPr>
          <w:ilvl w:val="0"/>
          <w:numId w:val="4"/>
        </w:numPr>
        <w:spacing w:after="0" w:line="240" w:lineRule="auto"/>
      </w:pPr>
      <w:r w:rsidRPr="005C32FA">
        <w:rPr>
          <w:lang w:bidi="ga-IE"/>
        </w:rPr>
        <w:t>Foireann/mic léinn/comhlachtaí seachtracha BOOÁCDL – Cloí leis na ráitis bheartais sa doiciméad seo agus bheith feasach go hiomlán ar gach dlí, nós imeachta agus treoir maidir le cosaint leanaí.</w:t>
      </w:r>
    </w:p>
    <w:p w14:paraId="028E2EE7" w14:textId="77777777" w:rsidR="00CB478F" w:rsidRPr="005C32FA" w:rsidRDefault="00CB478F" w:rsidP="00CB478F">
      <w:pPr>
        <w:pStyle w:val="Heading2"/>
        <w:spacing w:before="0" w:line="240" w:lineRule="auto"/>
        <w:rPr>
          <w:rFonts w:asciiTheme="minorHAnsi" w:hAnsiTheme="minorHAnsi"/>
        </w:rPr>
      </w:pPr>
      <w:r w:rsidRPr="005C32FA">
        <w:rPr>
          <w:lang w:bidi="ga-IE"/>
        </w:rPr>
        <w:t>Reachtaíocht</w:t>
      </w:r>
    </w:p>
    <w:p w14:paraId="028E2EE8" w14:textId="77777777" w:rsidR="00CB478F" w:rsidRPr="005C32FA" w:rsidRDefault="00CB478F" w:rsidP="00CB478F">
      <w:pPr>
        <w:spacing w:after="0" w:line="240" w:lineRule="auto"/>
      </w:pPr>
      <w:r w:rsidRPr="005C32FA">
        <w:rPr>
          <w:lang w:bidi="ga-IE"/>
        </w:rPr>
        <w:t xml:space="preserve">Ní mór do gach ball foirne BOOÁCDL agus gníomhaireachtaí seachtracha cloí leis an reachtaíocht atá i bhfeidhm ag an am. </w:t>
      </w:r>
    </w:p>
    <w:p w14:paraId="028E2EE9" w14:textId="77777777" w:rsidR="00CB478F" w:rsidRPr="005C32FA" w:rsidRDefault="00CB478F" w:rsidP="00CB478F">
      <w:pPr>
        <w:spacing w:after="0" w:line="240" w:lineRule="auto"/>
      </w:pPr>
      <w:r w:rsidRPr="005C32FA">
        <w:rPr>
          <w:lang w:bidi="ga-IE"/>
        </w:rPr>
        <w:t>An tAcht um Chúram Leanaí, 1991</w:t>
      </w:r>
    </w:p>
    <w:p w14:paraId="028E2EEA" w14:textId="77777777" w:rsidR="00CB478F" w:rsidRPr="005C32FA" w:rsidRDefault="00CB478F" w:rsidP="00CB478F">
      <w:pPr>
        <w:spacing w:after="0" w:line="240" w:lineRule="auto"/>
      </w:pPr>
      <w:r w:rsidRPr="005C32FA">
        <w:rPr>
          <w:lang w:bidi="ga-IE"/>
        </w:rPr>
        <w:t>An tAcht um Chúram Leanaí (Leasú) 2007, 2011, 2015</w:t>
      </w:r>
    </w:p>
    <w:p w14:paraId="028E2EEB" w14:textId="77777777" w:rsidR="00CB478F" w:rsidRPr="005C32FA" w:rsidRDefault="00CB478F" w:rsidP="00CB478F">
      <w:pPr>
        <w:spacing w:after="0" w:line="240" w:lineRule="auto"/>
        <w:rPr>
          <w:bCs/>
        </w:rPr>
      </w:pPr>
      <w:r w:rsidRPr="005C32FA">
        <w:rPr>
          <w:lang w:bidi="ga-IE"/>
        </w:rPr>
        <w:t>An Bille um Chúram Leanaí (Leasú) 2017</w:t>
      </w:r>
    </w:p>
    <w:p w14:paraId="028E2EEC" w14:textId="77777777" w:rsidR="00CB478F" w:rsidRPr="005C32FA" w:rsidRDefault="00475BDA" w:rsidP="00CB478F">
      <w:pPr>
        <w:spacing w:after="0" w:line="240" w:lineRule="auto"/>
      </w:pPr>
      <w:hyperlink r:id="rId7" w:history="1">
        <w:r w:rsidR="00CB478F" w:rsidRPr="005C32FA">
          <w:rPr>
            <w:lang w:bidi="ga-IE"/>
          </w:rPr>
          <w:t>An tAcht um Chosaintí do Dhaoine a Thuairisceoidh Drochúsáid Leanaí, 1998</w:t>
        </w:r>
      </w:hyperlink>
    </w:p>
    <w:p w14:paraId="028E2EED" w14:textId="77777777" w:rsidR="00CB478F" w:rsidRPr="005C32FA" w:rsidRDefault="00CB478F" w:rsidP="00CB478F">
      <w:pPr>
        <w:spacing w:after="0" w:line="240" w:lineRule="auto"/>
      </w:pPr>
      <w:r w:rsidRPr="005C32FA">
        <w:rPr>
          <w:lang w:bidi="ga-IE"/>
        </w:rPr>
        <w:t>An tAcht um Cheartas Coiriúil (Faisnéis faoi Chionta in aghaidh Leanaí agus Daoine Soghonta a Choimeád Siar), 2012</w:t>
      </w:r>
    </w:p>
    <w:p w14:paraId="028E2EEE" w14:textId="77777777" w:rsidR="00CB478F" w:rsidRPr="005C32FA" w:rsidRDefault="00475BDA" w:rsidP="00CB478F">
      <w:pPr>
        <w:spacing w:after="0" w:line="240" w:lineRule="auto"/>
      </w:pPr>
      <w:hyperlink r:id="rId8" w:history="1">
        <w:r w:rsidR="00CB478F" w:rsidRPr="005C32FA">
          <w:rPr>
            <w:lang w:bidi="ga-IE"/>
          </w:rPr>
          <w:t>An tAcht Oideachais (Leas), 2000</w:t>
        </w:r>
      </w:hyperlink>
    </w:p>
    <w:p w14:paraId="028E2EEF" w14:textId="77777777" w:rsidR="00CB478F" w:rsidRPr="005C32FA" w:rsidRDefault="00475BDA" w:rsidP="00CB478F">
      <w:pPr>
        <w:spacing w:after="0" w:line="240" w:lineRule="auto"/>
      </w:pPr>
      <w:hyperlink r:id="rId9" w:history="1">
        <w:r w:rsidR="00CB478F" w:rsidRPr="005C32FA">
          <w:rPr>
            <w:lang w:bidi="ga-IE"/>
          </w:rPr>
          <w:t>An tAcht um Obair Ógra, 2001</w:t>
        </w:r>
      </w:hyperlink>
    </w:p>
    <w:p w14:paraId="028E2EF0" w14:textId="77777777" w:rsidR="00CB478F" w:rsidRPr="005C32FA" w:rsidRDefault="00475BDA" w:rsidP="00CB478F">
      <w:pPr>
        <w:spacing w:after="0" w:line="240" w:lineRule="auto"/>
      </w:pPr>
      <w:hyperlink r:id="rId10" w:history="1">
        <w:r w:rsidR="00CB478F" w:rsidRPr="005C32FA">
          <w:rPr>
            <w:lang w:bidi="ga-IE"/>
          </w:rPr>
          <w:t>Acht na Leanaí 2001</w:t>
        </w:r>
      </w:hyperlink>
    </w:p>
    <w:p w14:paraId="028E2EF1" w14:textId="77777777" w:rsidR="00CB478F" w:rsidRPr="005C32FA" w:rsidRDefault="00475BDA" w:rsidP="00CB478F">
      <w:pPr>
        <w:shd w:val="clear" w:color="auto" w:fill="FFFFFF"/>
        <w:spacing w:after="0" w:line="240" w:lineRule="auto"/>
      </w:pPr>
      <w:hyperlink r:id="rId11" w:history="1">
        <w:r w:rsidR="00CB478F" w:rsidRPr="005C32FA">
          <w:rPr>
            <w:lang w:bidi="ga-IE"/>
          </w:rPr>
          <w:t>Acht na Leanaí (Leasú) 2015</w:t>
        </w:r>
      </w:hyperlink>
    </w:p>
    <w:p w14:paraId="028E2EF2" w14:textId="77777777" w:rsidR="00CB478F" w:rsidRPr="005C32FA" w:rsidRDefault="00CB478F" w:rsidP="00CB478F">
      <w:pPr>
        <w:spacing w:after="0" w:line="240" w:lineRule="auto"/>
      </w:pPr>
      <w:r w:rsidRPr="005C32FA">
        <w:rPr>
          <w:lang w:bidi="ga-IE"/>
        </w:rPr>
        <w:t xml:space="preserve">Na hAchtanna um an mBiúró Náisiúnta Grinnfhiosrúcháin (Leanaí agus Daoine Soghonta), 2012-2016 </w:t>
      </w:r>
    </w:p>
    <w:p w14:paraId="028E2EF3" w14:textId="77777777" w:rsidR="00CB478F" w:rsidRPr="005C32FA" w:rsidRDefault="00475BDA" w:rsidP="00CB478F">
      <w:pPr>
        <w:shd w:val="clear" w:color="auto" w:fill="FFFFFF"/>
        <w:spacing w:after="0" w:line="240" w:lineRule="auto"/>
      </w:pPr>
      <w:hyperlink r:id="rId12" w:history="1">
        <w:r w:rsidR="00CB478F" w:rsidRPr="005C32FA">
          <w:rPr>
            <w:lang w:bidi="ga-IE"/>
          </w:rPr>
          <w:t>An tAcht um an Aonú Leasú is Tríocha ar an mBunreacht (Leanaí), 2012</w:t>
        </w:r>
      </w:hyperlink>
    </w:p>
    <w:p w14:paraId="028E2EF4" w14:textId="77777777" w:rsidR="00CB478F" w:rsidRPr="005C32FA" w:rsidRDefault="00475BDA" w:rsidP="00CB478F">
      <w:pPr>
        <w:spacing w:after="0" w:line="240" w:lineRule="auto"/>
      </w:pPr>
      <w:hyperlink r:id="rId13" w:history="1">
        <w:r w:rsidR="00CB478F" w:rsidRPr="005C32FA">
          <w:rPr>
            <w:lang w:bidi="ga-IE"/>
          </w:rPr>
          <w:t>An tAcht fán nGníomhaireacht um Leanaí agus an Teaghlach, 2013</w:t>
        </w:r>
      </w:hyperlink>
    </w:p>
    <w:p w14:paraId="028E2EF5" w14:textId="77777777" w:rsidR="00CB478F" w:rsidRPr="005C32FA" w:rsidRDefault="00CB478F" w:rsidP="00CB478F">
      <w:pPr>
        <w:spacing w:after="0" w:line="240" w:lineRule="auto"/>
      </w:pPr>
      <w:r w:rsidRPr="005C32FA">
        <w:rPr>
          <w:lang w:bidi="ga-IE"/>
        </w:rPr>
        <w:t>An tAcht um Thús Áite do Leanaí, 2015</w:t>
      </w:r>
    </w:p>
    <w:p w14:paraId="028E2EF6" w14:textId="77777777" w:rsidR="00CB478F" w:rsidRPr="005C32FA" w:rsidRDefault="00CB478F" w:rsidP="00CB478F">
      <w:pPr>
        <w:spacing w:after="0" w:line="240" w:lineRule="auto"/>
      </w:pPr>
      <w:r w:rsidRPr="005C32FA">
        <w:rPr>
          <w:lang w:bidi="ga-IE"/>
        </w:rPr>
        <w:t>Tús Áite do Leanaí: An Treoir Náisiúnta um Chosaint agus Leas Leanaí (2011)</w:t>
      </w:r>
    </w:p>
    <w:p w14:paraId="028E2EF7" w14:textId="77777777" w:rsidR="00CB478F" w:rsidRPr="005C32FA" w:rsidRDefault="00CB478F" w:rsidP="00CB478F">
      <w:pPr>
        <w:spacing w:after="0" w:line="240" w:lineRule="auto"/>
      </w:pPr>
      <w:r w:rsidRPr="005C32FA">
        <w:rPr>
          <w:lang w:bidi="ga-IE"/>
        </w:rPr>
        <w:t>Beartas Cosanta Sonraí BOOÁCDL</w:t>
      </w:r>
    </w:p>
    <w:p w14:paraId="028E2EF8" w14:textId="77777777" w:rsidR="00CB478F" w:rsidRPr="005C32FA" w:rsidRDefault="00CB478F" w:rsidP="00CB478F">
      <w:pPr>
        <w:pStyle w:val="Heading2"/>
        <w:spacing w:before="0" w:line="240" w:lineRule="auto"/>
        <w:rPr>
          <w:rFonts w:asciiTheme="minorHAnsi" w:hAnsiTheme="minorHAnsi"/>
        </w:rPr>
      </w:pPr>
      <w:r w:rsidRPr="005C32FA">
        <w:rPr>
          <w:lang w:bidi="ga-IE"/>
        </w:rPr>
        <w:lastRenderedPageBreak/>
        <w:t>Beartas Ógtheagmhála BOOÁCDL</w:t>
      </w:r>
    </w:p>
    <w:p w14:paraId="028E2EF9" w14:textId="77777777" w:rsidR="00CB478F" w:rsidRPr="005C32FA" w:rsidRDefault="00CB478F" w:rsidP="00CB478F">
      <w:pPr>
        <w:spacing w:after="0" w:line="240" w:lineRule="auto"/>
      </w:pPr>
      <w:r w:rsidRPr="005C32FA">
        <w:rPr>
          <w:lang w:bidi="ga-IE"/>
        </w:rPr>
        <w:t xml:space="preserve">Tá trí phríomhchúinse ann ina bhféadfadh an gá a bheith le hobair duine le duine: </w:t>
      </w:r>
    </w:p>
    <w:p w14:paraId="028E2EFA" w14:textId="77777777" w:rsidR="00CB478F" w:rsidRPr="005C32FA" w:rsidRDefault="00327EE0" w:rsidP="00CB478F">
      <w:pPr>
        <w:pStyle w:val="ListParagraph"/>
        <w:numPr>
          <w:ilvl w:val="0"/>
          <w:numId w:val="3"/>
        </w:numPr>
        <w:spacing w:after="0" w:line="240" w:lineRule="auto"/>
      </w:pPr>
      <w:r>
        <w:rPr>
          <w:lang w:bidi="ga-IE"/>
        </w:rPr>
        <w:t xml:space="preserve">Cuid de phíosa oibre struchtúrtha pleanáilte.  (Litearthacht, Uimhearthacht, Measúnú srl.). </w:t>
      </w:r>
    </w:p>
    <w:p w14:paraId="028E2EFB" w14:textId="77777777" w:rsidR="00CB478F" w:rsidRPr="005C32FA" w:rsidRDefault="00327EE0" w:rsidP="00CB478F">
      <w:pPr>
        <w:pStyle w:val="ListParagraph"/>
        <w:numPr>
          <w:ilvl w:val="0"/>
          <w:numId w:val="3"/>
        </w:numPr>
        <w:spacing w:after="0" w:line="240" w:lineRule="auto"/>
      </w:pPr>
      <w:r>
        <w:rPr>
          <w:lang w:bidi="ga-IE"/>
        </w:rPr>
        <w:t>Cuid de chruinniú pleanáilte (comhordaitheoir/acmhainn/PSS/meantóireacht srl.).</w:t>
      </w:r>
    </w:p>
    <w:p w14:paraId="028E2EFC" w14:textId="77777777" w:rsidR="00CB478F" w:rsidRPr="005C32FA" w:rsidRDefault="00CB478F" w:rsidP="00CB478F">
      <w:pPr>
        <w:pStyle w:val="ListParagraph"/>
        <w:numPr>
          <w:ilvl w:val="0"/>
          <w:numId w:val="3"/>
        </w:numPr>
        <w:spacing w:after="0" w:line="240" w:lineRule="auto"/>
      </w:pPr>
      <w:r w:rsidRPr="005C32FA">
        <w:rPr>
          <w:lang w:bidi="ga-IE"/>
        </w:rPr>
        <w:t xml:space="preserve">I gcás frithghníomhach, m.sh. sa chás go n-iarrann duine óg cruinniú duine ar dhuine gan rabhadh, nó nuair is gá duine óg a bhaint ó ghrúpa. </w:t>
      </w:r>
    </w:p>
    <w:p w14:paraId="028E2EFD" w14:textId="77777777" w:rsidR="00346836" w:rsidRDefault="00346836" w:rsidP="00CB478F">
      <w:pPr>
        <w:spacing w:after="0" w:line="240" w:lineRule="auto"/>
        <w:rPr>
          <w:b/>
        </w:rPr>
      </w:pPr>
    </w:p>
    <w:p w14:paraId="028E2EFE" w14:textId="77777777" w:rsidR="00CB478F" w:rsidRPr="005C32FA" w:rsidRDefault="00CB478F" w:rsidP="00CB478F">
      <w:pPr>
        <w:spacing w:after="0" w:line="240" w:lineRule="auto"/>
        <w:rPr>
          <w:b/>
        </w:rPr>
      </w:pPr>
      <w:r w:rsidRPr="005C32FA">
        <w:rPr>
          <w:b/>
          <w:lang w:bidi="ga-IE"/>
        </w:rPr>
        <w:t xml:space="preserve">Mar chuid de phíosa oibre struchtúrtha pleanáilte nó cruinniú: </w:t>
      </w:r>
    </w:p>
    <w:p w14:paraId="028E2EFF" w14:textId="77777777" w:rsidR="00CB478F" w:rsidRPr="005C32FA" w:rsidRDefault="00CB478F" w:rsidP="00CB478F">
      <w:pPr>
        <w:pStyle w:val="ListParagraph"/>
        <w:numPr>
          <w:ilvl w:val="0"/>
          <w:numId w:val="1"/>
        </w:numPr>
        <w:spacing w:after="0" w:line="240" w:lineRule="auto"/>
      </w:pPr>
      <w:r w:rsidRPr="005C32FA">
        <w:rPr>
          <w:lang w:bidi="ga-IE"/>
        </w:rPr>
        <w:t>Ba chóir go mbeadh réasúnaíocht, aidhmeanna, modheolaíocht, meicníocht mheastóireachta agus plean oibre soiléir ag gabháil leis an gclár/gníomhaíocht ar leith.</w:t>
      </w:r>
    </w:p>
    <w:p w14:paraId="028E2F00" w14:textId="77777777" w:rsidR="00CB478F" w:rsidRPr="005C32FA" w:rsidRDefault="00327EE0" w:rsidP="00CB478F">
      <w:pPr>
        <w:pStyle w:val="ListParagraph"/>
        <w:numPr>
          <w:ilvl w:val="0"/>
          <w:numId w:val="1"/>
        </w:numPr>
        <w:spacing w:after="0" w:line="240" w:lineRule="auto"/>
      </w:pPr>
      <w:r>
        <w:rPr>
          <w:lang w:bidi="ga-IE"/>
        </w:rPr>
        <w:t xml:space="preserve">Ní mór a chur in iúl don Chomhordaitheoir agus/nó don fhoireann acmhainne go bhfuil cruinniú duine le duine ar siúl agus a bheith in ann dul i ngleic le haon cheisteanna a d'fhéadfadh teacht chun cinn. </w:t>
      </w:r>
    </w:p>
    <w:p w14:paraId="028E2F01" w14:textId="77777777" w:rsidR="00327EE0" w:rsidRDefault="00CB478F" w:rsidP="00CB478F">
      <w:pPr>
        <w:pStyle w:val="ListParagraph"/>
        <w:numPr>
          <w:ilvl w:val="0"/>
          <w:numId w:val="1"/>
        </w:numPr>
        <w:shd w:val="clear" w:color="auto" w:fill="FFFFFF"/>
        <w:spacing w:after="0" w:line="240" w:lineRule="auto"/>
      </w:pPr>
      <w:r w:rsidRPr="005C32FA">
        <w:rPr>
          <w:lang w:bidi="ga-IE"/>
        </w:rPr>
        <w:t xml:space="preserve">Ní mór tuismitheoirí/caomhnóirí a chur ar an eolas roimh chruinniú agus a chur ar an eolas faoi nádúr agus cuspóir na hoibre agus d’fhéadfadh go mbeadh orthu toiliú scríofa a thabhairt i gcásanna áirithe. </w:t>
      </w:r>
    </w:p>
    <w:p w14:paraId="028E2F02" w14:textId="77777777" w:rsidR="00327EE0" w:rsidRDefault="00CB478F" w:rsidP="00CB478F">
      <w:pPr>
        <w:pStyle w:val="ListParagraph"/>
        <w:numPr>
          <w:ilvl w:val="0"/>
          <w:numId w:val="2"/>
        </w:numPr>
        <w:shd w:val="clear" w:color="auto" w:fill="FFFFFF"/>
        <w:spacing w:after="0" w:line="240" w:lineRule="auto"/>
      </w:pPr>
      <w:r w:rsidRPr="005C32FA">
        <w:rPr>
          <w:lang w:bidi="ga-IE"/>
        </w:rPr>
        <w:t xml:space="preserve">Ní mór cód soiléir iompair a bheith i bhfeidhm san ionad. </w:t>
      </w:r>
    </w:p>
    <w:p w14:paraId="028E2F03" w14:textId="77777777" w:rsidR="00327EE0" w:rsidRDefault="00CB478F" w:rsidP="00CB478F">
      <w:pPr>
        <w:pStyle w:val="ListParagraph"/>
        <w:numPr>
          <w:ilvl w:val="0"/>
          <w:numId w:val="2"/>
        </w:numPr>
        <w:shd w:val="clear" w:color="auto" w:fill="FFFFFF"/>
        <w:spacing w:after="0" w:line="240" w:lineRule="auto"/>
      </w:pPr>
      <w:r w:rsidRPr="005C32FA">
        <w:rPr>
          <w:lang w:bidi="ga-IE"/>
        </w:rPr>
        <w:t>Ba cheart go gceadódh na hamanna agus na láithreacha ainmnithe do chruinnithe trédhearcacht agus cuntasacht.</w:t>
      </w:r>
    </w:p>
    <w:p w14:paraId="028E2F04" w14:textId="77777777" w:rsidR="00CB478F" w:rsidRPr="005C32FA" w:rsidRDefault="00327EE0" w:rsidP="00327EE0">
      <w:pPr>
        <w:pStyle w:val="ListParagraph"/>
        <w:numPr>
          <w:ilvl w:val="1"/>
          <w:numId w:val="2"/>
        </w:numPr>
        <w:shd w:val="clear" w:color="auto" w:fill="FFFFFF"/>
        <w:spacing w:after="0" w:line="240" w:lineRule="auto"/>
      </w:pPr>
      <w:r>
        <w:rPr>
          <w:lang w:bidi="ga-IE"/>
        </w:rPr>
        <w:t xml:space="preserve"> Sampla; a choinneáil i seomraí le painéal nó fuinneog ghloine soiléir, i bhfoirgnimh ina bhfuil daoine eile i láthair, agus doras an tseomra fágtha ar oscailt, nuair is cuí. </w:t>
      </w:r>
    </w:p>
    <w:p w14:paraId="028E2F05" w14:textId="77777777" w:rsidR="00CB478F" w:rsidRPr="005C32FA" w:rsidRDefault="00CB478F" w:rsidP="00CB478F">
      <w:pPr>
        <w:pStyle w:val="ListParagraph"/>
        <w:numPr>
          <w:ilvl w:val="0"/>
          <w:numId w:val="2"/>
        </w:numPr>
        <w:shd w:val="clear" w:color="auto" w:fill="FFFFFF"/>
        <w:spacing w:after="0" w:line="240" w:lineRule="auto"/>
        <w:rPr>
          <w:b/>
          <w:color w:val="FF0000"/>
        </w:rPr>
      </w:pPr>
      <w:r w:rsidRPr="005C32FA">
        <w:rPr>
          <w:lang w:bidi="ga-IE"/>
        </w:rPr>
        <w:t>Tá cosc ​iomlán ar mhic léinn cuairt a thabhairt ar theach aon bhall foirne.  Níor cheart cuairteanna ar theach an mhic léinn a dhéanamh ach amháin nuair a bhíonn an tuismitheoir/caomhnóir i láthair agus dearbhaithe roimh ré</w:t>
      </w:r>
      <w:r w:rsidRPr="005C32FA">
        <w:rPr>
          <w:b/>
          <w:color w:val="FF0000"/>
          <w:lang w:bidi="ga-IE"/>
        </w:rPr>
        <w:t>.</w:t>
      </w:r>
    </w:p>
    <w:p w14:paraId="028E2F06" w14:textId="77777777" w:rsidR="00CB478F" w:rsidRPr="005C32FA" w:rsidRDefault="00CB478F" w:rsidP="00CB478F">
      <w:pPr>
        <w:pStyle w:val="ListParagraph"/>
        <w:numPr>
          <w:ilvl w:val="0"/>
          <w:numId w:val="2"/>
        </w:numPr>
        <w:spacing w:after="0" w:line="240" w:lineRule="auto"/>
      </w:pPr>
      <w:r w:rsidRPr="005C32FA">
        <w:rPr>
          <w:lang w:bidi="ga-IE"/>
        </w:rPr>
        <w:t xml:space="preserve">Cuirfear in iúl do mhic léinn cé leis ar cheart teagmháil a dhéanamh leo má bhíonn aon imní orthu nó má mhothaíonn siad míchompordach faoi aon ghné de na cruinnithe seo. </w:t>
      </w:r>
    </w:p>
    <w:p w14:paraId="028E2F07" w14:textId="77777777" w:rsidR="00327EE0" w:rsidRDefault="00327EE0" w:rsidP="00CB478F">
      <w:pPr>
        <w:spacing w:after="0" w:line="240" w:lineRule="auto"/>
        <w:rPr>
          <w:b/>
        </w:rPr>
      </w:pPr>
    </w:p>
    <w:p w14:paraId="028E2F08" w14:textId="77777777" w:rsidR="00CB478F" w:rsidRPr="005C32FA" w:rsidRDefault="00CB478F" w:rsidP="00CB478F">
      <w:pPr>
        <w:spacing w:after="0" w:line="240" w:lineRule="auto"/>
        <w:rPr>
          <w:b/>
        </w:rPr>
      </w:pPr>
      <w:r w:rsidRPr="005C32FA">
        <w:rPr>
          <w:b/>
          <w:lang w:bidi="ga-IE"/>
        </w:rPr>
        <w:t>I gcás frithghníomhach:</w:t>
      </w:r>
    </w:p>
    <w:p w14:paraId="028E2F09" w14:textId="77777777" w:rsidR="00CB478F" w:rsidRPr="005C32FA" w:rsidRDefault="00CB478F" w:rsidP="00CB478F">
      <w:pPr>
        <w:pStyle w:val="ListParagraph"/>
        <w:numPr>
          <w:ilvl w:val="0"/>
          <w:numId w:val="2"/>
        </w:numPr>
        <w:spacing w:after="0" w:line="240" w:lineRule="auto"/>
      </w:pPr>
      <w:r w:rsidRPr="005C32FA">
        <w:rPr>
          <w:lang w:bidi="ga-IE"/>
        </w:rPr>
        <w:t>Más gá do bhall foirne labhairt le duine óg ina aonar, caithfidh sé/sí é sin a dhéanamh i dtimpeallacht oscailte, i bhfianaise daoine eile.</w:t>
      </w:r>
    </w:p>
    <w:p w14:paraId="028E2F0A" w14:textId="77777777" w:rsidR="00CB478F" w:rsidRPr="005C32FA" w:rsidRDefault="00CB478F" w:rsidP="00CB478F">
      <w:pPr>
        <w:pStyle w:val="ListParagraph"/>
        <w:numPr>
          <w:ilvl w:val="0"/>
          <w:numId w:val="2"/>
        </w:numPr>
        <w:spacing w:after="0" w:line="240" w:lineRule="auto"/>
      </w:pPr>
      <w:r w:rsidRPr="005C32FA">
        <w:rPr>
          <w:lang w:bidi="ga-IE"/>
        </w:rPr>
        <w:t>Mura féidir é seo a dhéanamh ní mór don fhoireann bualadh leis an mac léinn i seomraí le rochtain amhairc, nó leis an doras ar oscailt, nó i seomra/áit a bhfuil daoine eile in aice láimhe.</w:t>
      </w:r>
    </w:p>
    <w:p w14:paraId="028E2F0B" w14:textId="77777777" w:rsidR="00CB478F" w:rsidRPr="005C32FA" w:rsidRDefault="00CB478F" w:rsidP="00CB478F">
      <w:pPr>
        <w:pStyle w:val="ListParagraph"/>
        <w:numPr>
          <w:ilvl w:val="0"/>
          <w:numId w:val="2"/>
        </w:numPr>
        <w:spacing w:after="0" w:line="240" w:lineRule="auto"/>
      </w:pPr>
      <w:r w:rsidRPr="005C32FA">
        <w:rPr>
          <w:lang w:bidi="ga-IE"/>
        </w:rPr>
        <w:t>Cuir in iúl do chomhghleacaí eile go bhfuil cruinniú dá leithéid ar siúl agus an chúis atá leis.</w:t>
      </w:r>
    </w:p>
    <w:p w14:paraId="028E2F0C" w14:textId="77777777" w:rsidR="00CB478F" w:rsidRPr="005C32FA" w:rsidRDefault="00CB478F" w:rsidP="00CB478F">
      <w:pPr>
        <w:pStyle w:val="ListParagraph"/>
        <w:numPr>
          <w:ilvl w:val="0"/>
          <w:numId w:val="2"/>
        </w:numPr>
        <w:spacing w:after="0" w:line="240" w:lineRule="auto"/>
      </w:pPr>
      <w:r w:rsidRPr="005C32FA">
        <w:rPr>
          <w:lang w:bidi="ga-IE"/>
        </w:rPr>
        <w:t>Ba chóir taifead a choinneáil ar na cruinnithe seo lena n-áirítear ainmneacha, dátaí, amanna, láthair, fáth an chruinnithe agus toradh.</w:t>
      </w:r>
    </w:p>
    <w:p w14:paraId="028E2F0D" w14:textId="77777777" w:rsidR="00327EE0" w:rsidRDefault="00327EE0" w:rsidP="00CB478F">
      <w:pPr>
        <w:spacing w:after="0" w:line="240" w:lineRule="auto"/>
        <w:rPr>
          <w:b/>
        </w:rPr>
      </w:pPr>
    </w:p>
    <w:p w14:paraId="028E2F0E" w14:textId="77777777" w:rsidR="00CB478F" w:rsidRPr="005C32FA" w:rsidRDefault="00CB478F" w:rsidP="00CB478F">
      <w:pPr>
        <w:spacing w:after="0" w:line="240" w:lineRule="auto"/>
        <w:rPr>
          <w:b/>
        </w:rPr>
      </w:pPr>
      <w:r w:rsidRPr="005C32FA">
        <w:rPr>
          <w:b/>
          <w:lang w:bidi="ga-IE"/>
        </w:rPr>
        <w:t>Seirbhísí Síceolaíochta</w:t>
      </w:r>
    </w:p>
    <w:p w14:paraId="028E2F0F" w14:textId="77777777" w:rsidR="00CB478F" w:rsidRPr="005C32FA" w:rsidRDefault="00CB478F" w:rsidP="00CB478F">
      <w:pPr>
        <w:spacing w:after="0" w:line="240" w:lineRule="auto"/>
      </w:pPr>
      <w:r w:rsidRPr="005C32FA">
        <w:rPr>
          <w:lang w:bidi="ga-IE"/>
        </w:rPr>
        <w:t xml:space="preserve">Oibríonn an tSeirbhís Tacaíochta Síceolaíochta (PSS) faoi choimirce Ráiteas Corparáideach um Chosaint an BOOÁCDL agus oibríonn gach síceolaí de réir chód eitice Chumann Síceolaíochta na hÉireann (PSI).  Tá prótacal ag an PSS chun a chinntiú go bhfuil siad ag comhlíonadh na reachtaíochta “Tús Áite do Leanaí”.  </w:t>
      </w:r>
    </w:p>
    <w:p w14:paraId="028E2F10" w14:textId="77777777" w:rsidR="00692F1F" w:rsidRDefault="00692F1F"/>
    <w:sectPr w:rsidR="00692F1F" w:rsidSect="00440F35">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E2F13" w14:textId="77777777" w:rsidR="00071E65" w:rsidRDefault="00071E65">
      <w:pPr>
        <w:spacing w:after="0" w:line="240" w:lineRule="auto"/>
      </w:pPr>
      <w:r>
        <w:separator/>
      </w:r>
    </w:p>
  </w:endnote>
  <w:endnote w:type="continuationSeparator" w:id="0">
    <w:p w14:paraId="028E2F14" w14:textId="77777777" w:rsidR="00071E65" w:rsidRDefault="0007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119D0" w14:textId="77777777" w:rsidR="009E318B" w:rsidRDefault="009E3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8DBC" w14:textId="77777777" w:rsidR="009E318B" w:rsidRDefault="009E31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833A2" w14:textId="77777777" w:rsidR="009E318B" w:rsidRDefault="009E3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E2F11" w14:textId="77777777" w:rsidR="00071E65" w:rsidRDefault="00071E65">
      <w:pPr>
        <w:spacing w:after="0" w:line="240" w:lineRule="auto"/>
      </w:pPr>
      <w:r>
        <w:separator/>
      </w:r>
    </w:p>
  </w:footnote>
  <w:footnote w:type="continuationSeparator" w:id="0">
    <w:p w14:paraId="028E2F12" w14:textId="77777777" w:rsidR="00071E65" w:rsidRDefault="00071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6AEE1" w14:textId="77777777" w:rsidR="009E318B" w:rsidRDefault="009E3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E2F15" w14:textId="3CCE9E7D" w:rsidR="00EF5A13" w:rsidRDefault="009E318B">
    <w:pPr>
      <w:pStyle w:val="Header"/>
    </w:pPr>
    <w:r>
      <w:rPr>
        <w:noProof/>
        <w:lang w:bidi="ga-IE"/>
      </w:rPr>
      <w:drawing>
        <wp:inline distT="0" distB="0" distL="0" distR="0" wp14:anchorId="5DA2F34E" wp14:editId="6EE100D5">
          <wp:extent cx="5731510" cy="946785"/>
          <wp:effectExtent l="0" t="0" r="254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946785"/>
                  </a:xfrm>
                  <a:prstGeom prst="rect">
                    <a:avLst/>
                  </a:prstGeom>
                </pic:spPr>
              </pic:pic>
            </a:graphicData>
          </a:graphic>
        </wp:inline>
      </w:drawing>
    </w:r>
    <w:sdt>
      <w:sdtPr>
        <w:id w:val="753398284"/>
        <w:docPartObj>
          <w:docPartGallery w:val="Page Numbers (Margins)"/>
          <w:docPartUnique/>
        </w:docPartObj>
      </w:sdtPr>
      <w:sdtEndPr/>
      <w:sdtContent>
        <w:r w:rsidR="00346836">
          <w:rPr>
            <w:noProof/>
            <w:lang w:bidi="ga-IE"/>
          </w:rPr>
          <mc:AlternateContent>
            <mc:Choice Requires="wps">
              <w:drawing>
                <wp:anchor distT="0" distB="0" distL="114300" distR="114300" simplePos="0" relativeHeight="251659264" behindDoc="0" locked="0" layoutInCell="0" allowOverlap="1" wp14:anchorId="028E2F18" wp14:editId="028E2F19">
                  <wp:simplePos x="0" y="0"/>
                  <wp:positionH relativeFrom="rightMargin">
                    <wp:align>center</wp:align>
                  </wp:positionH>
                  <wp:positionV relativeFrom="margin">
                    <wp:align>bottom</wp:align>
                  </wp:positionV>
                  <wp:extent cx="510540" cy="218313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E2F1A" w14:textId="77777777" w:rsidR="00EF5A13" w:rsidRDefault="00475BDA">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28E2F18" id="Rectangle 5"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" o:allowincell="f" filled="f" stroked="f">
                  <v:textbox style="layout-flow:vertical;mso-layout-flow-alt:bottom-to-top;mso-fit-shape-to-text:t">
                    <w:txbxContent>
                      <w:p w14:paraId="028E2F1A" w14:textId="77777777" w:rsidR="00EF5A13" w:rsidRDefault="00475BDA">
                        <w:pPr>
                          <w:pStyle w:val="Footer"/>
                          <w:rPr>
                            <w:rFonts w:asciiTheme="majorHAnsi" w:eastAsiaTheme="majorEastAsia" w:hAnsiTheme="majorHAnsi" w:cstheme="majorBidi"/>
                            <w:sz w:val="44"/>
                            <w:szCs w:val="44"/>
                          </w:rPr>
                        </w:pP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2ADD8" w14:textId="77777777" w:rsidR="009E318B" w:rsidRDefault="009E3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509CD"/>
    <w:multiLevelType w:val="hybridMultilevel"/>
    <w:tmpl w:val="5EC2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B429EF"/>
    <w:multiLevelType w:val="hybridMultilevel"/>
    <w:tmpl w:val="BFEA2ECE"/>
    <w:lvl w:ilvl="0" w:tplc="FC4ED9C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244F11"/>
    <w:multiLevelType w:val="hybridMultilevel"/>
    <w:tmpl w:val="1F22B5C2"/>
    <w:lvl w:ilvl="0" w:tplc="5ED6BA2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1F1950"/>
    <w:multiLevelType w:val="hybridMultilevel"/>
    <w:tmpl w:val="9AB6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8F"/>
    <w:rsid w:val="00071E65"/>
    <w:rsid w:val="001E03C2"/>
    <w:rsid w:val="00327EE0"/>
    <w:rsid w:val="00346836"/>
    <w:rsid w:val="00475BDA"/>
    <w:rsid w:val="00692F1F"/>
    <w:rsid w:val="009E318B"/>
    <w:rsid w:val="00CB4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2EDC"/>
  <w15:chartTrackingRefBased/>
  <w15:docId w15:val="{BFD1B573-E167-4455-8848-32FA4F8F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78F"/>
    <w:pPr>
      <w:spacing w:line="252" w:lineRule="auto"/>
      <w:jc w:val="both"/>
    </w:pPr>
    <w:rPr>
      <w:rFonts w:eastAsiaTheme="minorEastAsia"/>
    </w:rPr>
  </w:style>
  <w:style w:type="paragraph" w:styleId="Heading1">
    <w:name w:val="heading 1"/>
    <w:basedOn w:val="Normal"/>
    <w:next w:val="Normal"/>
    <w:link w:val="Heading1Char"/>
    <w:uiPriority w:val="9"/>
    <w:qFormat/>
    <w:rsid w:val="00CB478F"/>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CB478F"/>
    <w:pPr>
      <w:keepNext/>
      <w:keepLines/>
      <w:spacing w:before="120" w:after="0"/>
      <w:outlineLvl w:val="1"/>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78F"/>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CB478F"/>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CB4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78F"/>
    <w:rPr>
      <w:rFonts w:eastAsiaTheme="minorEastAsia"/>
    </w:rPr>
  </w:style>
  <w:style w:type="paragraph" w:styleId="Footer">
    <w:name w:val="footer"/>
    <w:basedOn w:val="Normal"/>
    <w:link w:val="FooterChar"/>
    <w:uiPriority w:val="99"/>
    <w:unhideWhenUsed/>
    <w:rsid w:val="00CB4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78F"/>
    <w:rPr>
      <w:rFonts w:eastAsiaTheme="minorEastAsia"/>
    </w:rPr>
  </w:style>
  <w:style w:type="paragraph" w:styleId="ListParagraph">
    <w:name w:val="List Paragraph"/>
    <w:basedOn w:val="Normal"/>
    <w:uiPriority w:val="34"/>
    <w:qFormat/>
    <w:rsid w:val="00CB4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2000/en/act/pub/0022/index.html" TargetMode="External"/><Relationship Id="rId13" Type="http://schemas.openxmlformats.org/officeDocument/2006/relationships/hyperlink" Target="http://www.irishstatutebook.ie/2013/en/act/pub/0040/index.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rishstatutebook.ie/eli/1998/act/49/enacted/en/html" TargetMode="External"/><Relationship Id="rId12" Type="http://schemas.openxmlformats.org/officeDocument/2006/relationships/hyperlink" Target="http://www.irishstatutebook.ie/eli/2012/ca/31/enacted/en/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ireachtas.ie/documents/bills28/acts/2015/a3015.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irishstatutebook.ie/eli/2001/act/24/enacted/en/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rishstatutebook.ie/eli/2001/act/42/enacted/en/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5476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Rankin (Youthreach)</dc:creator>
  <cp:keywords/>
  <dc:description/>
  <cp:lastModifiedBy>Administrator</cp:lastModifiedBy>
  <cp:revision>2</cp:revision>
  <dcterms:created xsi:type="dcterms:W3CDTF">2022-02-24T17:04:00Z</dcterms:created>
  <dcterms:modified xsi:type="dcterms:W3CDTF">2022-02-24T17:04:00Z</dcterms:modified>
</cp:coreProperties>
</file>