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D193" w14:textId="5E9ACC15" w:rsidR="00E91D45" w:rsidRPr="00D315EF" w:rsidRDefault="008B7897" w:rsidP="008B7897">
      <w:pPr>
        <w:jc w:val="right"/>
        <w:rPr>
          <w:rFonts w:cs="Arial"/>
          <w:b/>
          <w:sz w:val="24"/>
          <w:szCs w:val="24"/>
        </w:rPr>
      </w:pPr>
      <w:bookmarkStart w:id="0" w:name="_GoBack"/>
      <w:bookmarkEnd w:id="0"/>
      <w:r w:rsidRPr="005167D4">
        <w:rPr>
          <w:rFonts w:ascii="Georgia" w:hAnsi="Georgia" w:cs="Arial"/>
          <w:noProof/>
          <w:lang w:eastAsia="en-IE"/>
        </w:rPr>
        <w:drawing>
          <wp:inline distT="0" distB="0" distL="0" distR="0" wp14:anchorId="73942295" wp14:editId="14FFAFFC">
            <wp:extent cx="2340831" cy="8667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84" cy="8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4B25E" w14:textId="77777777" w:rsidR="004E1A23" w:rsidRPr="007D2F33" w:rsidRDefault="00E91D45" w:rsidP="004E1A23">
      <w:pPr>
        <w:shd w:val="clear" w:color="auto" w:fill="F4F5F7"/>
        <w:spacing w:after="0" w:line="240" w:lineRule="auto"/>
        <w:outlineLvl w:val="0"/>
        <w:rPr>
          <w:rFonts w:eastAsia="Times New Roman" w:cs="Times New Roman"/>
          <w:b/>
          <w:kern w:val="36"/>
          <w:sz w:val="36"/>
          <w:szCs w:val="44"/>
          <w:lang w:eastAsia="en-IE"/>
        </w:rPr>
      </w:pPr>
      <w:r w:rsidRPr="007D2F33">
        <w:rPr>
          <w:rFonts w:eastAsia="Times New Roman" w:cs="Times New Roman"/>
          <w:b/>
          <w:kern w:val="36"/>
          <w:sz w:val="36"/>
          <w:szCs w:val="44"/>
          <w:lang w:eastAsia="en-IE"/>
        </w:rPr>
        <w:t>RISK MANAGEMENT POLICY</w:t>
      </w:r>
      <w:r w:rsidR="004E1A23" w:rsidRPr="007D2F33">
        <w:rPr>
          <w:rFonts w:eastAsia="Times New Roman" w:cs="Times New Roman"/>
          <w:b/>
          <w:kern w:val="36"/>
          <w:sz w:val="36"/>
          <w:szCs w:val="44"/>
          <w:lang w:eastAsia="en-IE"/>
        </w:rPr>
        <w:t xml:space="preserve"> </w:t>
      </w:r>
    </w:p>
    <w:p w14:paraId="0A1BA24F" w14:textId="77777777" w:rsidR="004945CF" w:rsidRPr="007947BF" w:rsidRDefault="00DA1B57" w:rsidP="00905A67">
      <w:pPr>
        <w:shd w:val="clear" w:color="auto" w:fill="F4F5F7"/>
        <w:spacing w:after="0" w:line="240" w:lineRule="auto"/>
        <w:outlineLvl w:val="0"/>
        <w:rPr>
          <w:rFonts w:eastAsia="Times New Roman" w:cs="Times New Roman"/>
          <w:kern w:val="36"/>
          <w:lang w:eastAsia="en-IE"/>
        </w:rPr>
      </w:pPr>
      <w:r w:rsidRPr="007947BF">
        <w:rPr>
          <w:rFonts w:eastAsia="Times New Roman" w:cs="Times New Roman"/>
          <w:kern w:val="36"/>
          <w:lang w:eastAsia="en-IE"/>
        </w:rPr>
        <w:t xml:space="preserve">Dublin </w:t>
      </w:r>
      <w:r w:rsidR="004E1A23" w:rsidRPr="007947BF">
        <w:rPr>
          <w:rFonts w:eastAsia="Times New Roman" w:cs="Times New Roman"/>
          <w:kern w:val="36"/>
          <w:lang w:eastAsia="en-IE"/>
        </w:rPr>
        <w:t>&amp;</w:t>
      </w:r>
      <w:r w:rsidRPr="007947BF">
        <w:rPr>
          <w:rFonts w:eastAsia="Times New Roman" w:cs="Times New Roman"/>
          <w:kern w:val="36"/>
          <w:lang w:eastAsia="en-IE"/>
        </w:rPr>
        <w:t xml:space="preserve"> Dun Laoghaire </w:t>
      </w:r>
      <w:r w:rsidR="004E1A23" w:rsidRPr="007947BF">
        <w:rPr>
          <w:rFonts w:eastAsia="Times New Roman" w:cs="Times New Roman"/>
          <w:kern w:val="36"/>
          <w:lang w:eastAsia="en-IE"/>
        </w:rPr>
        <w:t>ETB</w:t>
      </w:r>
    </w:p>
    <w:p w14:paraId="612E623A" w14:textId="7328D4FE" w:rsidR="004945CF" w:rsidRPr="007947BF" w:rsidRDefault="00CA51A1" w:rsidP="00905A67">
      <w:pPr>
        <w:shd w:val="clear" w:color="auto" w:fill="F4F5F7"/>
        <w:spacing w:after="0" w:line="240" w:lineRule="auto"/>
        <w:outlineLvl w:val="0"/>
        <w:rPr>
          <w:rFonts w:eastAsia="Times New Roman" w:cs="Times New Roman"/>
          <w:b/>
          <w:kern w:val="36"/>
          <w:lang w:eastAsia="en-IE"/>
        </w:rPr>
      </w:pPr>
      <w:r>
        <w:rPr>
          <w:rFonts w:eastAsia="Times New Roman" w:cs="Times New Roman"/>
          <w:b/>
          <w:kern w:val="36"/>
          <w:lang w:eastAsia="en-IE"/>
        </w:rPr>
        <w:t>May</w:t>
      </w:r>
      <w:r w:rsidR="008C4BC6">
        <w:rPr>
          <w:rFonts w:eastAsia="Times New Roman" w:cs="Times New Roman"/>
          <w:b/>
          <w:kern w:val="36"/>
          <w:lang w:eastAsia="en-IE"/>
        </w:rPr>
        <w:t xml:space="preserve"> 2020</w:t>
      </w:r>
    </w:p>
    <w:p w14:paraId="4B7B2762" w14:textId="77777777" w:rsidR="004945CF" w:rsidRPr="007947BF" w:rsidRDefault="004945CF" w:rsidP="00905A6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lang w:eastAsia="en-IE"/>
        </w:rPr>
      </w:pPr>
    </w:p>
    <w:p w14:paraId="4EA2AC0C" w14:textId="77777777" w:rsidR="00E91D45" w:rsidRPr="007947BF" w:rsidRDefault="00E91D45" w:rsidP="00E91D45">
      <w:pPr>
        <w:rPr>
          <w:rFonts w:cs="Arial"/>
        </w:rPr>
      </w:pPr>
    </w:p>
    <w:p w14:paraId="51AF3335" w14:textId="77777777" w:rsidR="00E91D45" w:rsidRPr="007947BF" w:rsidRDefault="00E91D45" w:rsidP="00E91D45">
      <w:pPr>
        <w:rPr>
          <w:rFonts w:cs="Arial"/>
          <w:b/>
        </w:rPr>
      </w:pPr>
      <w:r w:rsidRPr="007947BF">
        <w:rPr>
          <w:rFonts w:cs="Arial"/>
          <w:b/>
        </w:rPr>
        <w:t>Contents</w:t>
      </w:r>
    </w:p>
    <w:p w14:paraId="494C52D8" w14:textId="77777777" w:rsidR="00E91D45" w:rsidRPr="007947BF" w:rsidRDefault="00E91D45" w:rsidP="00E91D45">
      <w:pPr>
        <w:rPr>
          <w:rFonts w:cs="Arial"/>
          <w:b/>
        </w:rPr>
      </w:pPr>
    </w:p>
    <w:p w14:paraId="1012F31A" w14:textId="146C949E" w:rsidR="00E91D45" w:rsidRPr="007947BF" w:rsidRDefault="00E91D45" w:rsidP="00E91D45">
      <w:pPr>
        <w:numPr>
          <w:ilvl w:val="0"/>
          <w:numId w:val="20"/>
        </w:numPr>
        <w:rPr>
          <w:rFonts w:cs="Arial"/>
        </w:rPr>
      </w:pPr>
      <w:r w:rsidRPr="007947BF">
        <w:rPr>
          <w:rFonts w:cs="Arial"/>
        </w:rPr>
        <w:t>Policy statement</w:t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</w:p>
    <w:p w14:paraId="4204DCA0" w14:textId="40C98C43" w:rsidR="00E91D45" w:rsidRPr="007947BF" w:rsidRDefault="00E91D45" w:rsidP="00E91D45">
      <w:pPr>
        <w:numPr>
          <w:ilvl w:val="0"/>
          <w:numId w:val="20"/>
        </w:numPr>
        <w:rPr>
          <w:rFonts w:cs="Arial"/>
        </w:rPr>
      </w:pPr>
      <w:r w:rsidRPr="007947BF">
        <w:rPr>
          <w:rFonts w:cs="Arial"/>
        </w:rPr>
        <w:t>Purpose</w:t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</w:p>
    <w:p w14:paraId="6B7ED921" w14:textId="77777777" w:rsidR="006E27C0" w:rsidRDefault="00E91D45" w:rsidP="00E91D45">
      <w:pPr>
        <w:numPr>
          <w:ilvl w:val="0"/>
          <w:numId w:val="20"/>
        </w:numPr>
        <w:rPr>
          <w:rFonts w:cs="Arial"/>
        </w:rPr>
      </w:pPr>
      <w:r w:rsidRPr="007947BF">
        <w:rPr>
          <w:rFonts w:cs="Arial"/>
        </w:rPr>
        <w:t>Scope</w:t>
      </w:r>
      <w:r w:rsidRPr="007947BF">
        <w:rPr>
          <w:rFonts w:cs="Arial"/>
        </w:rPr>
        <w:tab/>
      </w:r>
    </w:p>
    <w:p w14:paraId="4F90B819" w14:textId="7808421F" w:rsidR="00E91D45" w:rsidRPr="007947BF" w:rsidRDefault="006E27C0" w:rsidP="00E91D4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Risk Appetite </w:t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  <w:t xml:space="preserve">            </w:t>
      </w:r>
      <w:r w:rsidR="001D3DE5">
        <w:rPr>
          <w:rFonts w:cs="Arial"/>
        </w:rPr>
        <w:t xml:space="preserve"> </w:t>
      </w:r>
      <w:r w:rsidR="00E91D45" w:rsidRPr="007947BF">
        <w:rPr>
          <w:rFonts w:cs="Arial"/>
        </w:rPr>
        <w:t xml:space="preserve"> </w:t>
      </w:r>
    </w:p>
    <w:p w14:paraId="6C420E22" w14:textId="510AC026" w:rsidR="00E91D45" w:rsidRPr="006E27C0" w:rsidRDefault="006E27C0" w:rsidP="006E27C0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Strategy Statement &amp; Objectives</w:t>
      </w:r>
      <w:r>
        <w:rPr>
          <w:rFonts w:cs="Arial"/>
        </w:rPr>
        <w:tab/>
      </w:r>
      <w:r>
        <w:rPr>
          <w:rFonts w:cs="Arial"/>
        </w:rPr>
        <w:tab/>
      </w:r>
      <w:r w:rsidR="00E91D45" w:rsidRPr="007947BF">
        <w:rPr>
          <w:rFonts w:cs="Arial"/>
        </w:rPr>
        <w:tab/>
        <w:t xml:space="preserve">                          </w:t>
      </w:r>
      <w:r>
        <w:rPr>
          <w:rFonts w:cs="Arial"/>
        </w:rPr>
        <w:t xml:space="preserve">                </w:t>
      </w:r>
      <w:r w:rsidR="00E91D45" w:rsidRPr="006E27C0">
        <w:rPr>
          <w:rFonts w:cs="Arial"/>
        </w:rPr>
        <w:tab/>
      </w:r>
    </w:p>
    <w:p w14:paraId="3D2512AE" w14:textId="248E5CED" w:rsidR="00E91D45" w:rsidRPr="007947BF" w:rsidRDefault="00E91D45" w:rsidP="00E91D45">
      <w:pPr>
        <w:numPr>
          <w:ilvl w:val="0"/>
          <w:numId w:val="20"/>
        </w:numPr>
        <w:rPr>
          <w:rFonts w:cs="Arial"/>
        </w:rPr>
      </w:pPr>
      <w:r w:rsidRPr="007947BF">
        <w:rPr>
          <w:rFonts w:cs="Arial"/>
        </w:rPr>
        <w:t>Roles and responsibilities</w:t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</w:r>
      <w:r w:rsidRPr="007947BF">
        <w:rPr>
          <w:rFonts w:cs="Arial"/>
        </w:rPr>
        <w:tab/>
        <w:t xml:space="preserve">            </w:t>
      </w:r>
      <w:r w:rsidR="001D3DE5">
        <w:rPr>
          <w:rFonts w:cs="Arial"/>
        </w:rPr>
        <w:t xml:space="preserve"> </w:t>
      </w:r>
      <w:r w:rsidRPr="007947BF">
        <w:rPr>
          <w:rFonts w:cs="Arial"/>
        </w:rPr>
        <w:t xml:space="preserve"> </w:t>
      </w:r>
    </w:p>
    <w:p w14:paraId="524A7F71" w14:textId="330557AF" w:rsidR="00E91D45" w:rsidRPr="007947BF" w:rsidRDefault="006E27C0" w:rsidP="00E91D4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Monitor &amp; Review</w:t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</w:p>
    <w:p w14:paraId="0F07F0EA" w14:textId="75E2F840" w:rsidR="00E91D45" w:rsidRPr="007947BF" w:rsidRDefault="007A0061" w:rsidP="00E91D4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Risk Management</w:t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</w:p>
    <w:p w14:paraId="3EB1F2D6" w14:textId="5C1663A5" w:rsidR="00E91D45" w:rsidRPr="007A0061" w:rsidRDefault="007A0061" w:rsidP="007A0061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Risk Register</w:t>
      </w:r>
      <w:r w:rsidR="00E91D45" w:rsidRPr="007947BF">
        <w:rPr>
          <w:rFonts w:cs="Arial"/>
        </w:rPr>
        <w:tab/>
      </w:r>
      <w:r w:rsidR="00E91D45" w:rsidRPr="007A0061">
        <w:rPr>
          <w:rFonts w:cs="Arial"/>
        </w:rPr>
        <w:tab/>
      </w:r>
      <w:r w:rsidR="00E91D45" w:rsidRPr="007A0061">
        <w:rPr>
          <w:rFonts w:cs="Arial"/>
        </w:rPr>
        <w:tab/>
      </w:r>
      <w:r w:rsidR="00E91D45" w:rsidRPr="007A0061">
        <w:rPr>
          <w:rFonts w:cs="Arial"/>
        </w:rPr>
        <w:tab/>
      </w:r>
      <w:r w:rsidR="00E91D45" w:rsidRPr="007A0061">
        <w:rPr>
          <w:rFonts w:cs="Arial"/>
        </w:rPr>
        <w:tab/>
      </w:r>
      <w:r w:rsidR="00E91D45" w:rsidRPr="007A0061">
        <w:rPr>
          <w:rFonts w:cs="Arial"/>
        </w:rPr>
        <w:tab/>
      </w:r>
      <w:r w:rsidR="00E91D45" w:rsidRPr="007A0061">
        <w:rPr>
          <w:rFonts w:cs="Arial"/>
        </w:rPr>
        <w:tab/>
      </w:r>
      <w:r w:rsidR="00E91D45" w:rsidRPr="007A0061">
        <w:rPr>
          <w:rFonts w:cs="Arial"/>
        </w:rPr>
        <w:tab/>
        <w:t xml:space="preserve">            </w:t>
      </w:r>
      <w:r w:rsidR="001D3DE5" w:rsidRPr="007A0061">
        <w:rPr>
          <w:rFonts w:cs="Arial"/>
        </w:rPr>
        <w:t xml:space="preserve"> </w:t>
      </w:r>
      <w:r w:rsidR="00E91D45" w:rsidRPr="007A0061">
        <w:rPr>
          <w:rFonts w:cs="Arial"/>
        </w:rPr>
        <w:t xml:space="preserve"> </w:t>
      </w:r>
    </w:p>
    <w:p w14:paraId="42503DC7" w14:textId="77777777" w:rsidR="007A0061" w:rsidRDefault="007A0061" w:rsidP="00E91D4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Risk Assessment</w:t>
      </w:r>
    </w:p>
    <w:p w14:paraId="10B8A49C" w14:textId="79FF3DF9" w:rsidR="007A0061" w:rsidRDefault="00127F38" w:rsidP="00E91D4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Assurance</w:t>
      </w:r>
    </w:p>
    <w:p w14:paraId="4B83F4A3" w14:textId="37FBB8BE" w:rsidR="00E91D45" w:rsidRPr="00647DF4" w:rsidRDefault="007A0061" w:rsidP="00E91D4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Monitoring and Audit</w:t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</w:r>
      <w:r w:rsidR="00E91D45" w:rsidRPr="007947BF">
        <w:rPr>
          <w:rFonts w:cs="Arial"/>
        </w:rPr>
        <w:tab/>
        <w:t xml:space="preserve">                         </w:t>
      </w:r>
      <w:r w:rsidR="001D3DE5">
        <w:rPr>
          <w:rFonts w:cs="Arial"/>
        </w:rPr>
        <w:t xml:space="preserve"> </w:t>
      </w:r>
      <w:r w:rsidR="00E91D45" w:rsidRPr="007947BF">
        <w:rPr>
          <w:rFonts w:cs="Arial"/>
        </w:rPr>
        <w:t xml:space="preserve">  </w:t>
      </w:r>
    </w:p>
    <w:p w14:paraId="204CFD90" w14:textId="77777777" w:rsidR="00E91D45" w:rsidRPr="007947BF" w:rsidRDefault="00E91D45" w:rsidP="00E91D45">
      <w:pPr>
        <w:rPr>
          <w:rFonts w:cs="Arial"/>
        </w:rPr>
      </w:pPr>
    </w:p>
    <w:p w14:paraId="44A849D0" w14:textId="68541842" w:rsidR="00E91D45" w:rsidRPr="007947BF" w:rsidRDefault="00E91D45" w:rsidP="00E91D45">
      <w:pPr>
        <w:rPr>
          <w:rFonts w:cs="Arial"/>
        </w:rPr>
      </w:pPr>
      <w:r w:rsidRPr="007947BF">
        <w:rPr>
          <w:rFonts w:cs="Arial"/>
          <w:b/>
        </w:rPr>
        <w:t xml:space="preserve">Appendix 1: Risk management reporting template                                                    </w:t>
      </w:r>
      <w:r w:rsidR="001D3DE5">
        <w:rPr>
          <w:rFonts w:cs="Arial"/>
          <w:b/>
        </w:rPr>
        <w:t xml:space="preserve">           </w:t>
      </w:r>
      <w:r w:rsidRPr="007947BF">
        <w:rPr>
          <w:rFonts w:cs="Arial"/>
          <w:b/>
        </w:rPr>
        <w:t xml:space="preserve">  </w:t>
      </w:r>
    </w:p>
    <w:p w14:paraId="5CE4BD8E" w14:textId="2EB61FBD" w:rsidR="00047D42" w:rsidRPr="007947BF" w:rsidRDefault="00E91D45" w:rsidP="00E91D45">
      <w:pPr>
        <w:rPr>
          <w:rFonts w:cs="Arial"/>
          <w:b/>
        </w:rPr>
      </w:pPr>
      <w:r w:rsidRPr="007947BF">
        <w:rPr>
          <w:rFonts w:cs="Arial"/>
          <w:b/>
        </w:rPr>
        <w:t>Appendix 2: Risk assessment matrix</w:t>
      </w:r>
      <w:r w:rsidR="00647DF4">
        <w:rPr>
          <w:rFonts w:cs="Arial"/>
          <w:b/>
        </w:rPr>
        <w:t xml:space="preserve"> </w:t>
      </w:r>
      <w:r w:rsidRPr="007947BF">
        <w:rPr>
          <w:rFonts w:cs="Arial"/>
          <w:b/>
        </w:rPr>
        <w:t xml:space="preserve">              </w:t>
      </w:r>
    </w:p>
    <w:p w14:paraId="3A69B417" w14:textId="08C78583" w:rsidR="00E91D45" w:rsidRPr="00502416" w:rsidRDefault="006E27C0" w:rsidP="00300C63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cs="Arial"/>
          <w:color w:val="0070C0"/>
          <w:u w:val="single"/>
        </w:rPr>
      </w:pPr>
      <w:r w:rsidRPr="00502416">
        <w:rPr>
          <w:rFonts w:cs="Arial"/>
          <w:color w:val="0070C0"/>
          <w:u w:val="single"/>
        </w:rPr>
        <w:lastRenderedPageBreak/>
        <w:t>Policy Statement</w:t>
      </w:r>
    </w:p>
    <w:p w14:paraId="042E9DD7" w14:textId="65E69DAF" w:rsidR="00E91D45" w:rsidRPr="007947BF" w:rsidRDefault="00E91D45" w:rsidP="00300C63">
      <w:p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It is the policy of Dublin and Dún Laoghaire (DDL) Education and Training Board (ETB) that risks to t</w:t>
      </w:r>
      <w:r w:rsidR="00FA1CA5">
        <w:rPr>
          <w:rFonts w:cs="Arial"/>
        </w:rPr>
        <w:t xml:space="preserve">he achievement of the </w:t>
      </w:r>
      <w:r w:rsidRPr="007947BF">
        <w:rPr>
          <w:rFonts w:cs="Arial"/>
        </w:rPr>
        <w:t>Statement</w:t>
      </w:r>
      <w:r w:rsidR="00FA1CA5">
        <w:rPr>
          <w:rFonts w:cs="Arial"/>
        </w:rPr>
        <w:t xml:space="preserve"> of Strategy</w:t>
      </w:r>
      <w:r w:rsidRPr="007947BF">
        <w:rPr>
          <w:rFonts w:cs="Arial"/>
        </w:rPr>
        <w:t xml:space="preserve"> should be identified, assessed, managed and monitored to support the demonstration of good governance in compliance with legislation, codes of practice, standards, guidance and relevant Department circulars.</w:t>
      </w:r>
    </w:p>
    <w:p w14:paraId="0B69FF86" w14:textId="77777777" w:rsidR="00E91D45" w:rsidRPr="007947BF" w:rsidRDefault="00E91D45" w:rsidP="00300C63">
      <w:p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All employees are mandated to comply with this policy.</w:t>
      </w:r>
    </w:p>
    <w:p w14:paraId="7C7C76EA" w14:textId="77777777" w:rsidR="00E91D45" w:rsidRPr="007947BF" w:rsidRDefault="00E91D45" w:rsidP="00300C63">
      <w:p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Dublin and Dún Laoghaire ETB is committed to supporting and empowering all employees in their work to manage all identified risks and to mitigate the level of risk to a level that is as low as is reasonably practicable.</w:t>
      </w:r>
    </w:p>
    <w:p w14:paraId="4DEAFAE6" w14:textId="77777777" w:rsidR="00E91D45" w:rsidRPr="007947BF" w:rsidRDefault="00E91D45" w:rsidP="00300C63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4AA82830" w14:textId="77777777" w:rsidR="007423FB" w:rsidRPr="007947BF" w:rsidRDefault="007423FB" w:rsidP="00300C63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301AA316" w14:textId="77777777" w:rsidR="00E91D45" w:rsidRPr="00502416" w:rsidRDefault="00E91D45" w:rsidP="00300C63">
      <w:pPr>
        <w:pStyle w:val="ListParagraph"/>
        <w:numPr>
          <w:ilvl w:val="0"/>
          <w:numId w:val="21"/>
        </w:numPr>
        <w:spacing w:after="0" w:line="240" w:lineRule="auto"/>
        <w:ind w:left="0" w:hanging="284"/>
        <w:jc w:val="both"/>
        <w:rPr>
          <w:rFonts w:cs="Arial"/>
          <w:color w:val="0070C0"/>
          <w:u w:val="single"/>
        </w:rPr>
      </w:pPr>
      <w:r w:rsidRPr="00502416">
        <w:rPr>
          <w:rFonts w:cs="Arial"/>
          <w:color w:val="0070C0"/>
          <w:u w:val="single"/>
        </w:rPr>
        <w:t>Purpose</w:t>
      </w:r>
    </w:p>
    <w:p w14:paraId="08EF612E" w14:textId="4501DAE6" w:rsidR="00E91D45" w:rsidRPr="007947BF" w:rsidRDefault="00E91D45" w:rsidP="00300C63">
      <w:pPr>
        <w:pStyle w:val="ListParagraph"/>
        <w:spacing w:after="0" w:line="240" w:lineRule="auto"/>
        <w:ind w:left="0"/>
        <w:jc w:val="both"/>
        <w:rPr>
          <w:rFonts w:cs="Arial"/>
        </w:rPr>
      </w:pPr>
      <w:r w:rsidRPr="007947BF">
        <w:rPr>
          <w:rFonts w:cs="Arial"/>
        </w:rPr>
        <w:t>To support all employees to comply with this policy and procedure so as to support the management of risks that could prevent the achievement of the Dublin and Dún</w:t>
      </w:r>
      <w:r w:rsidR="00FA1CA5">
        <w:rPr>
          <w:rFonts w:cs="Arial"/>
        </w:rPr>
        <w:t xml:space="preserve"> Laoghaire ETB </w:t>
      </w:r>
      <w:r w:rsidRPr="007947BF">
        <w:rPr>
          <w:rFonts w:cs="Arial"/>
        </w:rPr>
        <w:t>Statement</w:t>
      </w:r>
      <w:r w:rsidR="00FA1CA5">
        <w:rPr>
          <w:rFonts w:cs="Arial"/>
        </w:rPr>
        <w:t xml:space="preserve"> of Strategy</w:t>
      </w:r>
      <w:r w:rsidRPr="007947BF">
        <w:rPr>
          <w:rFonts w:cs="Arial"/>
        </w:rPr>
        <w:t>.</w:t>
      </w:r>
    </w:p>
    <w:p w14:paraId="626FE18C" w14:textId="77777777" w:rsidR="00E91D45" w:rsidRPr="007947BF" w:rsidRDefault="00E91D45" w:rsidP="00300C63">
      <w:pPr>
        <w:pStyle w:val="ListParagraph"/>
        <w:spacing w:after="0" w:line="240" w:lineRule="auto"/>
        <w:jc w:val="both"/>
        <w:rPr>
          <w:rFonts w:cs="Arial"/>
        </w:rPr>
      </w:pPr>
    </w:p>
    <w:p w14:paraId="792CAEC4" w14:textId="77777777" w:rsidR="007423FB" w:rsidRPr="007947BF" w:rsidRDefault="007423FB" w:rsidP="00300C63">
      <w:pPr>
        <w:pStyle w:val="ListParagraph"/>
        <w:spacing w:after="0" w:line="240" w:lineRule="auto"/>
        <w:jc w:val="both"/>
        <w:rPr>
          <w:rFonts w:cs="Arial"/>
        </w:rPr>
      </w:pPr>
    </w:p>
    <w:p w14:paraId="42399F85" w14:textId="77777777" w:rsidR="00E91D45" w:rsidRPr="00502416" w:rsidRDefault="00E91D45" w:rsidP="00300C63">
      <w:pPr>
        <w:pStyle w:val="ListParagraph"/>
        <w:numPr>
          <w:ilvl w:val="0"/>
          <w:numId w:val="21"/>
        </w:numPr>
        <w:spacing w:after="0" w:line="240" w:lineRule="auto"/>
        <w:ind w:left="0" w:hanging="284"/>
        <w:jc w:val="both"/>
        <w:rPr>
          <w:rFonts w:cs="Arial"/>
          <w:color w:val="0070C0"/>
          <w:u w:val="single"/>
        </w:rPr>
      </w:pPr>
      <w:r w:rsidRPr="00502416">
        <w:rPr>
          <w:rFonts w:cs="Arial"/>
          <w:color w:val="0070C0"/>
          <w:u w:val="single"/>
        </w:rPr>
        <w:t>Scope</w:t>
      </w:r>
    </w:p>
    <w:p w14:paraId="02DE53D4" w14:textId="40FFE057" w:rsidR="007423FB" w:rsidRPr="00863119" w:rsidRDefault="00FA1CA5" w:rsidP="00300C63">
      <w:pPr>
        <w:spacing w:after="0" w:line="240" w:lineRule="auto"/>
        <w:jc w:val="both"/>
        <w:rPr>
          <w:rFonts w:cs="Arial"/>
          <w:color w:val="0070C0"/>
        </w:rPr>
      </w:pPr>
      <w:r>
        <w:rPr>
          <w:rFonts w:cs="Arial"/>
        </w:rPr>
        <w:t xml:space="preserve">This policy </w:t>
      </w:r>
      <w:r w:rsidR="00E91D45" w:rsidRPr="00863119">
        <w:rPr>
          <w:rFonts w:cs="Arial"/>
        </w:rPr>
        <w:t>applies to all employees of Dublin and Dún Laoghaire ETB</w:t>
      </w:r>
      <w:r w:rsidR="00C552D5" w:rsidRPr="00863119">
        <w:rPr>
          <w:rFonts w:cs="Arial"/>
        </w:rPr>
        <w:t>.</w:t>
      </w:r>
      <w:r>
        <w:rPr>
          <w:rFonts w:cs="Arial"/>
        </w:rPr>
        <w:t xml:space="preserve"> </w:t>
      </w:r>
      <w:r w:rsidR="00E91D45" w:rsidRPr="00863119">
        <w:rPr>
          <w:rFonts w:cs="Arial"/>
        </w:rPr>
        <w:t>It is a requirement of Dublin and Dún Laoghaire ETB that where it engages with third parties, that appropriate evidence is sought of their risk management systems and structures; the objective being to ensure that Dublin and Dún Laoghaire ETB will not be adversely impacted by third party activities.</w:t>
      </w:r>
    </w:p>
    <w:p w14:paraId="0DA8B267" w14:textId="7370BAD4" w:rsidR="00840D99" w:rsidRDefault="00840D99" w:rsidP="00300C63">
      <w:pPr>
        <w:pStyle w:val="ListParagraph"/>
        <w:spacing w:after="0" w:line="240" w:lineRule="auto"/>
        <w:ind w:left="567"/>
        <w:jc w:val="both"/>
        <w:rPr>
          <w:rFonts w:cs="Arial"/>
        </w:rPr>
      </w:pPr>
    </w:p>
    <w:p w14:paraId="46BC4C6E" w14:textId="77777777" w:rsidR="00840D99" w:rsidRPr="00840D99" w:rsidRDefault="00840D99" w:rsidP="00300C63">
      <w:pPr>
        <w:pStyle w:val="ListParagraph"/>
        <w:spacing w:after="0" w:line="240" w:lineRule="auto"/>
        <w:ind w:left="567"/>
        <w:jc w:val="both"/>
        <w:rPr>
          <w:rFonts w:cs="Arial"/>
          <w:color w:val="0070C0"/>
        </w:rPr>
      </w:pPr>
    </w:p>
    <w:p w14:paraId="731A26EE" w14:textId="316D4740" w:rsidR="00863119" w:rsidRPr="00F37DCE" w:rsidRDefault="00840D99" w:rsidP="00300C63">
      <w:pPr>
        <w:pStyle w:val="ListParagraph"/>
        <w:numPr>
          <w:ilvl w:val="0"/>
          <w:numId w:val="21"/>
        </w:numPr>
        <w:spacing w:after="0" w:line="240" w:lineRule="auto"/>
        <w:ind w:left="0" w:hanging="283"/>
        <w:jc w:val="both"/>
        <w:rPr>
          <w:rFonts w:cs="Arial"/>
          <w:color w:val="0070C0"/>
          <w:u w:val="single"/>
        </w:rPr>
      </w:pPr>
      <w:r w:rsidRPr="00F37DCE">
        <w:rPr>
          <w:rFonts w:cs="Arial"/>
          <w:color w:val="0070C0"/>
          <w:u w:val="single"/>
        </w:rPr>
        <w:t xml:space="preserve">Risk Appetite </w:t>
      </w:r>
    </w:p>
    <w:p w14:paraId="48532037" w14:textId="75483DE3" w:rsidR="00863119" w:rsidRDefault="00686C14" w:rsidP="00300C63">
      <w:pPr>
        <w:spacing w:after="0" w:line="240" w:lineRule="auto"/>
        <w:jc w:val="both"/>
      </w:pPr>
      <w:r>
        <w:t>Risk</w:t>
      </w:r>
      <w:r w:rsidR="00F22DBF">
        <w:t xml:space="preserve"> </w:t>
      </w:r>
      <w:r>
        <w:t>A</w:t>
      </w:r>
      <w:r w:rsidR="00F22DBF">
        <w:t>ppetite in respect of activities applies largely to;</w:t>
      </w:r>
    </w:p>
    <w:p w14:paraId="31E30D40" w14:textId="77777777" w:rsidR="00F22DBF" w:rsidRDefault="00F22DBF" w:rsidP="00F22DBF">
      <w:pPr>
        <w:pStyle w:val="ListParagraph"/>
        <w:numPr>
          <w:ilvl w:val="0"/>
          <w:numId w:val="47"/>
        </w:numPr>
      </w:pPr>
      <w:r>
        <w:t>Agency Programmes</w:t>
      </w:r>
    </w:p>
    <w:p w14:paraId="2498E62D" w14:textId="77777777" w:rsidR="00F22DBF" w:rsidRDefault="00F22DBF" w:rsidP="00F22DBF">
      <w:pPr>
        <w:pStyle w:val="ListParagraph"/>
        <w:numPr>
          <w:ilvl w:val="0"/>
          <w:numId w:val="47"/>
        </w:numPr>
      </w:pPr>
      <w:r>
        <w:t xml:space="preserve">Self-financing Projects and/or </w:t>
      </w:r>
    </w:p>
    <w:p w14:paraId="5612198C" w14:textId="54BF18A6" w:rsidR="00F22DBF" w:rsidRDefault="00A81EBB" w:rsidP="00F22DBF">
      <w:pPr>
        <w:pStyle w:val="ListParagraph"/>
        <w:numPr>
          <w:ilvl w:val="0"/>
          <w:numId w:val="47"/>
        </w:numPr>
      </w:pPr>
      <w:r>
        <w:t>New school provision</w:t>
      </w:r>
    </w:p>
    <w:p w14:paraId="7A7C7BA0" w14:textId="77777777" w:rsidR="00863119" w:rsidRPr="00863119" w:rsidRDefault="00863119" w:rsidP="00300C63">
      <w:pPr>
        <w:spacing w:after="0" w:line="240" w:lineRule="auto"/>
        <w:jc w:val="both"/>
        <w:rPr>
          <w:rFonts w:cs="Arial"/>
          <w:color w:val="0070C0"/>
        </w:rPr>
      </w:pPr>
    </w:p>
    <w:p w14:paraId="5E1B7517" w14:textId="1D116168" w:rsidR="00F22DBF" w:rsidRDefault="00863119" w:rsidP="0075788F">
      <w:pPr>
        <w:pStyle w:val="ListParagraph"/>
        <w:numPr>
          <w:ilvl w:val="0"/>
          <w:numId w:val="21"/>
        </w:numPr>
        <w:spacing w:after="0" w:line="240" w:lineRule="auto"/>
        <w:ind w:left="0" w:hanging="289"/>
        <w:jc w:val="both"/>
        <w:rPr>
          <w:rFonts w:cs="Arial"/>
          <w:color w:val="0070C0"/>
          <w:u w:val="single"/>
        </w:rPr>
      </w:pPr>
      <w:r w:rsidRPr="00871CA6">
        <w:rPr>
          <w:rFonts w:cs="Arial"/>
          <w:color w:val="0070C0"/>
          <w:u w:val="single"/>
        </w:rPr>
        <w:t>Statement</w:t>
      </w:r>
      <w:r w:rsidR="00FA1CA5">
        <w:rPr>
          <w:rFonts w:cs="Arial"/>
          <w:color w:val="0070C0"/>
          <w:u w:val="single"/>
        </w:rPr>
        <w:t xml:space="preserve"> </w:t>
      </w:r>
      <w:r w:rsidR="004208DB">
        <w:rPr>
          <w:rFonts w:cs="Arial"/>
          <w:color w:val="0070C0"/>
          <w:u w:val="single"/>
        </w:rPr>
        <w:t xml:space="preserve">of </w:t>
      </w:r>
      <w:r w:rsidR="00FA1CA5">
        <w:rPr>
          <w:rFonts w:cs="Arial"/>
          <w:color w:val="0070C0"/>
          <w:u w:val="single"/>
        </w:rPr>
        <w:t>Strategy</w:t>
      </w:r>
      <w:r w:rsidRPr="00871CA6">
        <w:rPr>
          <w:rFonts w:cs="Arial"/>
          <w:color w:val="0070C0"/>
          <w:u w:val="single"/>
        </w:rPr>
        <w:t xml:space="preserve"> &amp; Objectives</w:t>
      </w:r>
    </w:p>
    <w:p w14:paraId="0EB52A7F" w14:textId="410C909C" w:rsidR="00BC7ACB" w:rsidRPr="00F22DBF" w:rsidRDefault="00863119" w:rsidP="00F22DB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Arial"/>
          <w:color w:val="0070C0"/>
          <w:u w:val="single"/>
        </w:rPr>
      </w:pPr>
      <w:r w:rsidRPr="00F22DBF">
        <w:rPr>
          <w:rFonts w:cs="Arial"/>
        </w:rPr>
        <w:t xml:space="preserve">Support compliance with legislation, codes of practice, standards, guidance and Department </w:t>
      </w:r>
      <w:r w:rsidR="00BC7ACB" w:rsidRPr="00F22DBF">
        <w:rPr>
          <w:rFonts w:cs="Arial"/>
        </w:rPr>
        <w:t xml:space="preserve">    </w:t>
      </w:r>
      <w:r w:rsidRPr="00F22DBF">
        <w:rPr>
          <w:rFonts w:cs="Arial"/>
        </w:rPr>
        <w:t>circulars</w:t>
      </w:r>
    </w:p>
    <w:p w14:paraId="61E036F2" w14:textId="16B606D3" w:rsidR="006623A0" w:rsidRPr="00BC7ACB" w:rsidRDefault="00863119" w:rsidP="00F22DB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Arial"/>
          <w:color w:val="0070C0"/>
        </w:rPr>
      </w:pPr>
      <w:r w:rsidRPr="00BC7ACB">
        <w:rPr>
          <w:rFonts w:cs="Arial"/>
        </w:rPr>
        <w:t>Support implementation of management controls to mitigate risk</w:t>
      </w:r>
    </w:p>
    <w:p w14:paraId="0308276D" w14:textId="37056BA1" w:rsidR="00BC7ACB" w:rsidRPr="00F22DBF" w:rsidRDefault="00863119" w:rsidP="00F22DB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Arial"/>
        </w:rPr>
      </w:pPr>
      <w:r w:rsidRPr="00F22DBF">
        <w:rPr>
          <w:rFonts w:cs="Arial"/>
        </w:rPr>
        <w:t>Su</w:t>
      </w:r>
      <w:r w:rsidR="004208DB">
        <w:rPr>
          <w:rFonts w:cs="Arial"/>
        </w:rPr>
        <w:t xml:space="preserve">pport delivery of the DDLETB </w:t>
      </w:r>
      <w:r w:rsidRPr="00F22DBF">
        <w:rPr>
          <w:rFonts w:cs="Arial"/>
        </w:rPr>
        <w:t xml:space="preserve">Statement </w:t>
      </w:r>
      <w:r w:rsidR="004208DB">
        <w:rPr>
          <w:rFonts w:cs="Arial"/>
        </w:rPr>
        <w:t xml:space="preserve">of Strategy </w:t>
      </w:r>
      <w:r w:rsidRPr="00F22DBF">
        <w:rPr>
          <w:rFonts w:cs="Arial"/>
        </w:rPr>
        <w:t>[6</w:t>
      </w:r>
      <w:r w:rsidRPr="00F22DBF">
        <w:rPr>
          <w:rFonts w:cs="Arial"/>
          <w:vertAlign w:val="superscript"/>
        </w:rPr>
        <w:t>th</w:t>
      </w:r>
      <w:r w:rsidRPr="00F22DBF">
        <w:rPr>
          <w:rFonts w:cs="Arial"/>
        </w:rPr>
        <w:t xml:space="preserve"> February 2017]</w:t>
      </w:r>
    </w:p>
    <w:p w14:paraId="2DD67696" w14:textId="07EF86E6" w:rsidR="00BC7ACB" w:rsidRPr="00F22DBF" w:rsidRDefault="00863119" w:rsidP="00F22DB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Arial"/>
        </w:rPr>
      </w:pPr>
      <w:r w:rsidRPr="00F22DBF">
        <w:rPr>
          <w:rFonts w:cs="Arial"/>
        </w:rPr>
        <w:t>Empower all employees to take ownership of risks within their scope of work</w:t>
      </w:r>
    </w:p>
    <w:p w14:paraId="4280A830" w14:textId="1130D347" w:rsidR="00BC7ACB" w:rsidRPr="00F22DBF" w:rsidRDefault="00863119" w:rsidP="00F22DB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Arial"/>
          <w:color w:val="0070C0"/>
        </w:rPr>
      </w:pPr>
      <w:r w:rsidRPr="00F22DBF">
        <w:rPr>
          <w:rFonts w:cs="Arial"/>
        </w:rPr>
        <w:t>Demonstrate support for good governance</w:t>
      </w:r>
    </w:p>
    <w:p w14:paraId="625B5E3E" w14:textId="7D934FBC" w:rsidR="00BC7ACB" w:rsidRPr="00F22DBF" w:rsidRDefault="00863119" w:rsidP="00F22DB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Arial"/>
          <w:color w:val="0070C0"/>
        </w:rPr>
      </w:pPr>
      <w:r w:rsidRPr="00F22DBF">
        <w:rPr>
          <w:rFonts w:cs="Arial"/>
        </w:rPr>
        <w:t>Improve business performance</w:t>
      </w:r>
    </w:p>
    <w:p w14:paraId="772A9847" w14:textId="332095F9" w:rsidR="00BC7ACB" w:rsidRPr="00F22DBF" w:rsidRDefault="00863119" w:rsidP="00F22DB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Arial"/>
          <w:color w:val="0070C0"/>
        </w:rPr>
      </w:pPr>
      <w:r w:rsidRPr="00F22DBF">
        <w:rPr>
          <w:rFonts w:cs="Arial"/>
        </w:rPr>
        <w:t xml:space="preserve">Develop an enhanced awareness of business risk </w:t>
      </w:r>
    </w:p>
    <w:p w14:paraId="14C8B506" w14:textId="31DC100C" w:rsidR="00BC7ACB" w:rsidRPr="00F22DBF" w:rsidRDefault="00863119" w:rsidP="00F22DB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Arial"/>
          <w:color w:val="0070C0"/>
        </w:rPr>
      </w:pPr>
      <w:r w:rsidRPr="00F22DBF">
        <w:rPr>
          <w:rFonts w:cs="Arial"/>
        </w:rPr>
        <w:t xml:space="preserve">Encourage innovation and improvement </w:t>
      </w:r>
    </w:p>
    <w:p w14:paraId="601078E8" w14:textId="037A9502" w:rsidR="00863119" w:rsidRPr="00F22DBF" w:rsidRDefault="00863119" w:rsidP="00F22DB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Arial"/>
          <w:color w:val="0070C0"/>
        </w:rPr>
      </w:pPr>
      <w:r w:rsidRPr="00F22DBF">
        <w:rPr>
          <w:rFonts w:cs="Arial"/>
        </w:rPr>
        <w:t xml:space="preserve">Promote an integrated approach to the management of risk. </w:t>
      </w:r>
    </w:p>
    <w:p w14:paraId="230FBD6B" w14:textId="5DBDF635" w:rsidR="00F45766" w:rsidRDefault="00F45766" w:rsidP="00300C63">
      <w:pPr>
        <w:spacing w:after="0" w:line="240" w:lineRule="auto"/>
        <w:ind w:left="-6"/>
        <w:jc w:val="both"/>
        <w:rPr>
          <w:rFonts w:cs="Arial"/>
          <w:color w:val="0070C0"/>
        </w:rPr>
      </w:pPr>
    </w:p>
    <w:p w14:paraId="5B9B33CE" w14:textId="77777777" w:rsidR="00647DF4" w:rsidRDefault="00647DF4" w:rsidP="00300C63">
      <w:pPr>
        <w:spacing w:after="0" w:line="240" w:lineRule="auto"/>
        <w:ind w:left="-6"/>
        <w:jc w:val="both"/>
        <w:rPr>
          <w:rFonts w:cs="Arial"/>
          <w:color w:val="0070C0"/>
        </w:rPr>
      </w:pPr>
    </w:p>
    <w:p w14:paraId="5B8D3B7B" w14:textId="336583B5" w:rsidR="00863119" w:rsidRPr="007C544B" w:rsidRDefault="00F45766" w:rsidP="0075788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Arial"/>
          <w:color w:val="0070C0"/>
          <w:u w:val="single"/>
        </w:rPr>
      </w:pPr>
      <w:r w:rsidRPr="007C544B">
        <w:rPr>
          <w:rFonts w:cs="Arial"/>
          <w:color w:val="0070C0"/>
          <w:u w:val="single"/>
        </w:rPr>
        <w:lastRenderedPageBreak/>
        <w:t>Roles and responsibilities</w:t>
      </w:r>
    </w:p>
    <w:p w14:paraId="71CD38AB" w14:textId="795E7EF2" w:rsidR="00F45766" w:rsidRPr="003D5B05" w:rsidRDefault="00F45766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3D5B05">
        <w:rPr>
          <w:rFonts w:cs="Arial"/>
        </w:rPr>
        <w:t>Board of Dublin and Dún Laoghaire ETB shall ensure that appropriate systems and structures are implemented, monitored and controlled to manage risk</w:t>
      </w:r>
    </w:p>
    <w:p w14:paraId="6903DE9F" w14:textId="7A985FDB" w:rsidR="00F45766" w:rsidRPr="003D5B05" w:rsidRDefault="00F45766" w:rsidP="003D5B05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3D5B05">
        <w:rPr>
          <w:rFonts w:cs="Arial"/>
        </w:rPr>
        <w:t>Audit</w:t>
      </w:r>
      <w:r w:rsidR="004208DB">
        <w:rPr>
          <w:rFonts w:cs="Arial"/>
        </w:rPr>
        <w:t xml:space="preserve"> and Risk</w:t>
      </w:r>
      <w:r w:rsidRPr="003D5B05">
        <w:rPr>
          <w:rFonts w:cs="Arial"/>
        </w:rPr>
        <w:t xml:space="preserve"> Committee shall undertake its role in compliance with relevant legislation</w:t>
      </w:r>
    </w:p>
    <w:p w14:paraId="5480662F" w14:textId="77777777" w:rsidR="00F45766" w:rsidRPr="007947BF" w:rsidRDefault="00F45766" w:rsidP="003D5B05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Chief Executive shall ensure that all:</w:t>
      </w:r>
    </w:p>
    <w:p w14:paraId="5CDCEC8B" w14:textId="77777777" w:rsidR="00F45766" w:rsidRPr="00AD0E92" w:rsidRDefault="00F45766" w:rsidP="00300C6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cs="Arial"/>
        </w:rPr>
      </w:pPr>
      <w:r w:rsidRPr="00AD0E92">
        <w:rPr>
          <w:rFonts w:cs="Arial"/>
        </w:rPr>
        <w:t>Key risks to the successful delivery of the Strategic Statement are identified, assessed, managed and monitored</w:t>
      </w:r>
    </w:p>
    <w:p w14:paraId="226B77AD" w14:textId="77777777" w:rsidR="00F45766" w:rsidRPr="00AD0E92" w:rsidRDefault="00F45766" w:rsidP="00300C6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cs="Arial"/>
        </w:rPr>
      </w:pPr>
      <w:r w:rsidRPr="00AD0E92">
        <w:rPr>
          <w:rFonts w:cs="Arial"/>
        </w:rPr>
        <w:t>Reported non-conformances are appropriately investigated and that preventive or corrective actions are implemented</w:t>
      </w:r>
    </w:p>
    <w:p w14:paraId="5ACC28EF" w14:textId="23A8EA63" w:rsidR="00F45766" w:rsidRPr="0093198C" w:rsidRDefault="0093198C" w:rsidP="00D47050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93198C">
        <w:rPr>
          <w:rFonts w:cs="Arial"/>
        </w:rPr>
        <w:t xml:space="preserve">Education Officers, </w:t>
      </w:r>
      <w:r w:rsidR="00F45766" w:rsidRPr="0093198C">
        <w:rPr>
          <w:rFonts w:cs="Arial"/>
        </w:rPr>
        <w:t>Centre Managers</w:t>
      </w:r>
      <w:r w:rsidRPr="0093198C">
        <w:rPr>
          <w:rFonts w:cs="Arial"/>
        </w:rPr>
        <w:t>, Principals &amp; Line managers</w:t>
      </w:r>
      <w:r w:rsidR="00F45766" w:rsidRPr="0093198C">
        <w:rPr>
          <w:rFonts w:cs="Arial"/>
        </w:rPr>
        <w:t xml:space="preserve"> shall </w:t>
      </w:r>
      <w:r>
        <w:rPr>
          <w:rFonts w:cs="Arial"/>
        </w:rPr>
        <w:t>ensure this policy</w:t>
      </w:r>
      <w:r w:rsidR="00F45766" w:rsidRPr="0093198C">
        <w:rPr>
          <w:rFonts w:cs="Arial"/>
        </w:rPr>
        <w:t xml:space="preserve"> is implemented</w:t>
      </w:r>
    </w:p>
    <w:p w14:paraId="654B435F" w14:textId="77777777" w:rsidR="00F45766" w:rsidRPr="00AD0E92" w:rsidRDefault="00F45766" w:rsidP="00300C6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Arial"/>
        </w:rPr>
      </w:pPr>
      <w:r w:rsidRPr="00AD0E92">
        <w:rPr>
          <w:rFonts w:cs="Arial"/>
        </w:rPr>
        <w:t>They notify change in the level of risk to their line manager</w:t>
      </w:r>
    </w:p>
    <w:p w14:paraId="13647898" w14:textId="77777777" w:rsidR="00F45766" w:rsidRPr="00AD0E92" w:rsidRDefault="00F45766" w:rsidP="00300C6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Arial"/>
        </w:rPr>
      </w:pPr>
      <w:r w:rsidRPr="00AD0E92">
        <w:rPr>
          <w:rFonts w:cs="Arial"/>
        </w:rPr>
        <w:t>They provide appropriate support to their staff to manage risk</w:t>
      </w:r>
    </w:p>
    <w:p w14:paraId="29D1E624" w14:textId="2D35BE7E" w:rsidR="00F45766" w:rsidRPr="0075788F" w:rsidRDefault="00F45766" w:rsidP="0075788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Arial"/>
        </w:rPr>
      </w:pPr>
      <w:r w:rsidRPr="00AD0E92">
        <w:rPr>
          <w:rFonts w:cs="Arial"/>
        </w:rPr>
        <w:t>They support systems for the investigation of incidents that may give rise to risk</w:t>
      </w:r>
    </w:p>
    <w:p w14:paraId="7476ACC5" w14:textId="77777777" w:rsidR="00F45766" w:rsidRPr="007947BF" w:rsidRDefault="00F45766" w:rsidP="003D5B05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Internal Audit Unit shall:</w:t>
      </w:r>
    </w:p>
    <w:p w14:paraId="07CEFC87" w14:textId="77777777" w:rsidR="00F45766" w:rsidRPr="00AD0E92" w:rsidRDefault="00F45766" w:rsidP="00300C6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AD0E92">
        <w:rPr>
          <w:rFonts w:cs="Arial"/>
        </w:rPr>
        <w:t>Undertake audits of compliance with required legislation, codes of practice, guidance, standards, and policies, procedures and Department circulars</w:t>
      </w:r>
    </w:p>
    <w:p w14:paraId="2ABA7D5E" w14:textId="77777777" w:rsidR="00F45766" w:rsidRPr="00AD0E92" w:rsidRDefault="00F45766" w:rsidP="00300C6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AD0E92">
        <w:rPr>
          <w:rFonts w:cs="Arial"/>
        </w:rPr>
        <w:t>Provides reports to the Chief Executive and Audit Committee for corrective and preventive action to be taken to mitigate risk</w:t>
      </w:r>
    </w:p>
    <w:p w14:paraId="107C6FE8" w14:textId="77777777" w:rsidR="00F45766" w:rsidRPr="007947BF" w:rsidRDefault="00F45766" w:rsidP="003D5B05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Comptroller and Auditor General shall:</w:t>
      </w:r>
    </w:p>
    <w:p w14:paraId="10DDD074" w14:textId="77777777" w:rsidR="00F45766" w:rsidRPr="00AD0E92" w:rsidRDefault="00F45766" w:rsidP="00300C6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AD0E92">
        <w:rPr>
          <w:rFonts w:cs="Arial"/>
        </w:rPr>
        <w:t>Audit compliance in respect of legislation, codes, of practice, standards, guidance and policies and procedures</w:t>
      </w:r>
    </w:p>
    <w:p w14:paraId="2892BC52" w14:textId="54D70759" w:rsidR="00F45766" w:rsidRPr="00AD0E92" w:rsidRDefault="00F45766" w:rsidP="00300C6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AD0E92">
        <w:rPr>
          <w:rFonts w:cs="Arial"/>
        </w:rPr>
        <w:t xml:space="preserve">Provide reports to the Chief Executive and Audit </w:t>
      </w:r>
      <w:r w:rsidR="0093198C">
        <w:rPr>
          <w:rFonts w:cs="Arial"/>
        </w:rPr>
        <w:t xml:space="preserve">and Risk </w:t>
      </w:r>
      <w:r w:rsidRPr="00AD0E92">
        <w:rPr>
          <w:rFonts w:cs="Arial"/>
        </w:rPr>
        <w:t xml:space="preserve">Committee for corrective and preventive action to be taken to mitigate risk </w:t>
      </w:r>
    </w:p>
    <w:p w14:paraId="222F0FEE" w14:textId="26B1FF62" w:rsidR="00840D99" w:rsidRPr="006E27C0" w:rsidRDefault="00F45766" w:rsidP="003D5B05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Employees shall comply with this policy and all instruction issued by their supervisor/line manager.</w:t>
      </w:r>
    </w:p>
    <w:p w14:paraId="6CB14F47" w14:textId="3916470C" w:rsidR="00840D99" w:rsidRDefault="00840D99" w:rsidP="00300C63">
      <w:pPr>
        <w:pStyle w:val="ListParagraph"/>
        <w:spacing w:after="0" w:line="240" w:lineRule="auto"/>
        <w:ind w:left="0"/>
        <w:jc w:val="both"/>
        <w:rPr>
          <w:rFonts w:cs="Arial"/>
          <w:color w:val="0070C0"/>
        </w:rPr>
      </w:pPr>
    </w:p>
    <w:p w14:paraId="6265F6BE" w14:textId="77777777" w:rsidR="00840D99" w:rsidRDefault="00840D99" w:rsidP="00300C63">
      <w:pPr>
        <w:pStyle w:val="ListParagraph"/>
        <w:spacing w:after="0" w:line="240" w:lineRule="auto"/>
        <w:ind w:left="0"/>
        <w:jc w:val="both"/>
        <w:rPr>
          <w:rFonts w:cs="Arial"/>
          <w:color w:val="0070C0"/>
        </w:rPr>
      </w:pPr>
    </w:p>
    <w:p w14:paraId="2642AB08" w14:textId="4791482B" w:rsidR="00C552D5" w:rsidRPr="00871CA6" w:rsidRDefault="008505F4" w:rsidP="003D5B05">
      <w:pPr>
        <w:pStyle w:val="ListParagraph"/>
        <w:numPr>
          <w:ilvl w:val="0"/>
          <w:numId w:val="46"/>
        </w:numPr>
        <w:spacing w:after="0" w:line="240" w:lineRule="auto"/>
        <w:ind w:left="0" w:hanging="283"/>
        <w:jc w:val="both"/>
        <w:rPr>
          <w:rFonts w:cs="Arial"/>
          <w:color w:val="0070C0"/>
          <w:u w:val="single"/>
        </w:rPr>
      </w:pPr>
      <w:r w:rsidRPr="00871CA6">
        <w:rPr>
          <w:rFonts w:cs="Arial"/>
          <w:color w:val="0070C0"/>
          <w:u w:val="single"/>
        </w:rPr>
        <w:t>Monitor and Review</w:t>
      </w:r>
    </w:p>
    <w:p w14:paraId="66A82288" w14:textId="76B3BAED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Education and Training Boards Act, 2013</w:t>
      </w:r>
    </w:p>
    <w:p w14:paraId="5B4196F8" w14:textId="2D6D2AD7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502416">
        <w:rPr>
          <w:rFonts w:cs="Arial"/>
        </w:rPr>
        <w:t>Code of Practice for the Governance of Ed</w:t>
      </w:r>
      <w:r w:rsidR="0093198C">
        <w:rPr>
          <w:rFonts w:cs="Arial"/>
        </w:rPr>
        <w:t>ucation and Training Boards 2019</w:t>
      </w:r>
      <w:r w:rsidRPr="00502416">
        <w:rPr>
          <w:rFonts w:cs="Arial"/>
        </w:rPr>
        <w:t xml:space="preserve"> (Circula</w:t>
      </w:r>
      <w:r w:rsidR="00B6312B" w:rsidRPr="00502416">
        <w:rPr>
          <w:rFonts w:cs="Arial"/>
        </w:rPr>
        <w:t>r Letter 0002</w:t>
      </w:r>
      <w:r w:rsidRPr="00502416">
        <w:rPr>
          <w:rFonts w:cs="Arial"/>
        </w:rPr>
        <w:t>/201</w:t>
      </w:r>
      <w:r w:rsidR="00B6312B" w:rsidRPr="00502416">
        <w:rPr>
          <w:rFonts w:cs="Arial"/>
        </w:rPr>
        <w:t>9</w:t>
      </w:r>
      <w:r w:rsidRPr="00502416">
        <w:rPr>
          <w:rFonts w:cs="Arial"/>
        </w:rPr>
        <w:t>)</w:t>
      </w:r>
      <w:r w:rsidRPr="007947BF">
        <w:rPr>
          <w:rFonts w:cs="Arial"/>
        </w:rPr>
        <w:t xml:space="preserve"> Department of Education and Skills </w:t>
      </w:r>
    </w:p>
    <w:p w14:paraId="64D6C1D2" w14:textId="62A3C946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Code of Conduct for Employees</w:t>
      </w:r>
    </w:p>
    <w:p w14:paraId="4BBED99E" w14:textId="5018F0FD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Government Department circulars</w:t>
      </w:r>
    </w:p>
    <w:p w14:paraId="73AF672D" w14:textId="6371CB6C" w:rsidR="00E91D4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Further Education and Training Act, 2013</w:t>
      </w:r>
    </w:p>
    <w:p w14:paraId="2B160EF4" w14:textId="77777777" w:rsidR="00E91D45" w:rsidRPr="007947BF" w:rsidRDefault="00E91D45" w:rsidP="00300C63">
      <w:pPr>
        <w:pStyle w:val="ListParagraph"/>
        <w:spacing w:after="0" w:line="240" w:lineRule="auto"/>
        <w:ind w:left="567" w:hanging="573"/>
        <w:jc w:val="both"/>
        <w:rPr>
          <w:rFonts w:cs="Arial"/>
        </w:rPr>
      </w:pPr>
    </w:p>
    <w:p w14:paraId="2D280AF1" w14:textId="0205527F" w:rsidR="00E91D45" w:rsidRDefault="00E91D45" w:rsidP="00300C63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554261CF" w14:textId="778F9DEE" w:rsidR="007A0061" w:rsidRPr="00871CA6" w:rsidRDefault="007A0061" w:rsidP="003D5B05">
      <w:pPr>
        <w:pStyle w:val="ListParagraph"/>
        <w:numPr>
          <w:ilvl w:val="0"/>
          <w:numId w:val="46"/>
        </w:numPr>
        <w:spacing w:after="0" w:line="240" w:lineRule="auto"/>
        <w:ind w:left="0"/>
        <w:jc w:val="both"/>
        <w:rPr>
          <w:rFonts w:cs="Arial"/>
          <w:color w:val="0070C0"/>
          <w:u w:val="single"/>
        </w:rPr>
      </w:pPr>
      <w:r w:rsidRPr="00871CA6">
        <w:rPr>
          <w:rFonts w:cs="Arial"/>
          <w:color w:val="0070C0"/>
          <w:u w:val="single"/>
        </w:rPr>
        <w:t>Risk Management</w:t>
      </w:r>
    </w:p>
    <w:p w14:paraId="529BC1E5" w14:textId="066D455F" w:rsidR="00663D2F" w:rsidRPr="00663D2F" w:rsidRDefault="008505F4" w:rsidP="00300C63">
      <w:p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The risks to the successful achievement of the Strategic Statement shall be identified, assessed, managed and monitored on a predetermined basis:</w:t>
      </w:r>
    </w:p>
    <w:p w14:paraId="3049110C" w14:textId="093E60CC" w:rsidR="008505F4" w:rsidRPr="003D5B05" w:rsidRDefault="008505F4" w:rsidP="003D5B05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3D5B05">
        <w:rPr>
          <w:rFonts w:cs="Arial"/>
        </w:rPr>
        <w:t xml:space="preserve">New risks arising from a new Strategic Statement shall be identified, assessed, managed and </w:t>
      </w:r>
      <w:r w:rsidR="003D5B05" w:rsidRPr="003D5B05">
        <w:rPr>
          <w:rFonts w:cs="Arial"/>
        </w:rPr>
        <w:t xml:space="preserve">   </w:t>
      </w:r>
      <w:r w:rsidRPr="003D5B05">
        <w:rPr>
          <w:rFonts w:cs="Arial"/>
        </w:rPr>
        <w:t xml:space="preserve">monitored </w:t>
      </w:r>
    </w:p>
    <w:p w14:paraId="47C88F9B" w14:textId="071BCC92" w:rsidR="00904DE1" w:rsidRDefault="008505F4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New risks shall be identified arising from:</w:t>
      </w:r>
    </w:p>
    <w:p w14:paraId="213633E8" w14:textId="36BE90DF" w:rsidR="008505F4" w:rsidRPr="008001A8" w:rsidRDefault="008505F4" w:rsidP="00300C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Non-conformances</w:t>
      </w:r>
    </w:p>
    <w:p w14:paraId="37720F3E" w14:textId="77777777" w:rsidR="008505F4" w:rsidRPr="008001A8" w:rsidRDefault="008505F4" w:rsidP="00300C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Incidents</w:t>
      </w:r>
    </w:p>
    <w:p w14:paraId="2DBF8DB3" w14:textId="77777777" w:rsidR="008505F4" w:rsidRPr="008001A8" w:rsidRDefault="008505F4" w:rsidP="00300C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lastRenderedPageBreak/>
        <w:t>Near misses</w:t>
      </w:r>
    </w:p>
    <w:p w14:paraId="28ABCD24" w14:textId="77777777" w:rsidR="008505F4" w:rsidRPr="008001A8" w:rsidRDefault="008505F4" w:rsidP="00300C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Complaints</w:t>
      </w:r>
    </w:p>
    <w:p w14:paraId="61E9B1FF" w14:textId="77777777" w:rsidR="008505F4" w:rsidRPr="008001A8" w:rsidRDefault="008505F4" w:rsidP="00300C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Claims</w:t>
      </w:r>
    </w:p>
    <w:p w14:paraId="5D5E6E42" w14:textId="48830904" w:rsidR="008505F4" w:rsidRPr="007947BF" w:rsidRDefault="008505F4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All risks shall be reassessed on a predetermined basis so that an up to date risk assessment is available to support the management of risk</w:t>
      </w:r>
    </w:p>
    <w:p w14:paraId="0AB8C607" w14:textId="3A55FAE9" w:rsidR="008505F4" w:rsidRPr="007947BF" w:rsidRDefault="008505F4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 xml:space="preserve">Risks shall be assessed using a qualitative approach (see appendix 2) </w:t>
      </w:r>
    </w:p>
    <w:p w14:paraId="6D91AB2B" w14:textId="1ED006FB" w:rsidR="008505F4" w:rsidRPr="007947BF" w:rsidRDefault="008505F4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 xml:space="preserve">The effectiveness of management controls shall be reported on at predetermined intervals to the Senior Management Team and the Audit </w:t>
      </w:r>
      <w:r w:rsidR="008226EC">
        <w:rPr>
          <w:rFonts w:cs="Arial"/>
        </w:rPr>
        <w:t xml:space="preserve">and Risk </w:t>
      </w:r>
      <w:r w:rsidRPr="007947BF">
        <w:rPr>
          <w:rFonts w:cs="Arial"/>
        </w:rPr>
        <w:t>Committee (see appendix 1 for report template):</w:t>
      </w:r>
    </w:p>
    <w:p w14:paraId="08608C68" w14:textId="77777777" w:rsidR="008505F4" w:rsidRPr="008001A8" w:rsidRDefault="008505F4" w:rsidP="00300C6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 xml:space="preserve">High level risks every three months </w:t>
      </w:r>
    </w:p>
    <w:p w14:paraId="7AF727F3" w14:textId="77777777" w:rsidR="008505F4" w:rsidRPr="008001A8" w:rsidRDefault="008505F4" w:rsidP="00300C6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Medium level risks every six months</w:t>
      </w:r>
    </w:p>
    <w:p w14:paraId="76C4A1FD" w14:textId="019F9A9F" w:rsidR="008505F4" w:rsidRPr="008001A8" w:rsidRDefault="008001A8" w:rsidP="00300C6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L</w:t>
      </w:r>
      <w:r w:rsidR="008505F4" w:rsidRPr="008001A8">
        <w:rPr>
          <w:rFonts w:cs="Arial"/>
        </w:rPr>
        <w:t>ow level risks on an annual basis or more frequently if circumstances change</w:t>
      </w:r>
    </w:p>
    <w:p w14:paraId="70876BE8" w14:textId="79A301B8" w:rsidR="008505F4" w:rsidRPr="007947BF" w:rsidRDefault="008505F4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 xml:space="preserve">Line management shall facilitate audit of the risk management system </w:t>
      </w:r>
    </w:p>
    <w:p w14:paraId="16438D02" w14:textId="63066030" w:rsidR="008505F4" w:rsidRPr="007947BF" w:rsidRDefault="008505F4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Line management shall implement corrective and preventive action identified as necessary from monitoring and audit exercises</w:t>
      </w:r>
    </w:p>
    <w:p w14:paraId="53046A38" w14:textId="6A8487B7" w:rsidR="003A2A60" w:rsidRDefault="003A2A60" w:rsidP="00300C63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3AFC9C04" w14:textId="77777777" w:rsidR="00A36AD9" w:rsidRPr="007947BF" w:rsidRDefault="00A36AD9" w:rsidP="00300C63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07FA267D" w14:textId="5318B626" w:rsidR="00C552D5" w:rsidRPr="00871CA6" w:rsidRDefault="003A2A60" w:rsidP="003D5B05">
      <w:pPr>
        <w:pStyle w:val="ListParagraph"/>
        <w:numPr>
          <w:ilvl w:val="0"/>
          <w:numId w:val="46"/>
        </w:numPr>
        <w:spacing w:after="0" w:line="240" w:lineRule="auto"/>
        <w:ind w:left="0"/>
        <w:jc w:val="both"/>
        <w:rPr>
          <w:rFonts w:cs="Arial"/>
          <w:color w:val="0070C0"/>
          <w:u w:val="single"/>
        </w:rPr>
      </w:pPr>
      <w:r w:rsidRPr="00871CA6">
        <w:rPr>
          <w:rFonts w:cs="Arial"/>
          <w:color w:val="0070C0"/>
          <w:u w:val="single"/>
        </w:rPr>
        <w:t>Risk Register</w:t>
      </w:r>
    </w:p>
    <w:p w14:paraId="22A34581" w14:textId="070051E3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Risk: Risk can be thought of as a possible loss or other adverse consequence that has the potential to impact on an ETB’s ability to achieve its objectives and fulfil its mission (IPB 2009: VEC Risk excellence in governance through best practice risk management)</w:t>
      </w:r>
    </w:p>
    <w:p w14:paraId="6CAE3343" w14:textId="72FFD914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 xml:space="preserve">Risk management: the management of risk increases the probability of success and reduces the possibility of failure </w:t>
      </w:r>
    </w:p>
    <w:p w14:paraId="71F18387" w14:textId="4AE13E06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Risk identificati</w:t>
      </w:r>
      <w:r w:rsidR="006C264E">
        <w:rPr>
          <w:rFonts w:cs="Arial"/>
        </w:rPr>
        <w:t>on: process of finding, recognis</w:t>
      </w:r>
      <w:r w:rsidRPr="007947BF">
        <w:rPr>
          <w:rFonts w:cs="Arial"/>
        </w:rPr>
        <w:t xml:space="preserve">ing and describing risks </w:t>
      </w:r>
    </w:p>
    <w:p w14:paraId="594FCB5A" w14:textId="17CA70F1" w:rsidR="00C552D5" w:rsidRPr="007947BF" w:rsidRDefault="00B82428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>
        <w:rPr>
          <w:rFonts w:cs="Arial"/>
        </w:rPr>
        <w:t>Risk assessment: There are four</w:t>
      </w:r>
      <w:r w:rsidR="00E91D45" w:rsidRPr="007947BF">
        <w:rPr>
          <w:rFonts w:cs="Arial"/>
        </w:rPr>
        <w:t xml:space="preserve"> main parameters for rating the risk:</w:t>
      </w:r>
    </w:p>
    <w:p w14:paraId="65391888" w14:textId="06AE5B57" w:rsidR="00C552D5" w:rsidRPr="00F22DBF" w:rsidRDefault="00B82428" w:rsidP="00F22DBF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cs="Arial"/>
        </w:rPr>
      </w:pPr>
      <w:r w:rsidRPr="00F22DBF">
        <w:rPr>
          <w:rFonts w:ascii="Calibri" w:hAnsi="Calibri" w:cs="Calibri"/>
          <w:b/>
          <w:color w:val="444444"/>
          <w:shd w:val="clear" w:color="auto" w:fill="FFFFFF"/>
        </w:rPr>
        <w:t>Compliant</w:t>
      </w:r>
      <w:r w:rsidRPr="00F22DBF">
        <w:rPr>
          <w:rFonts w:ascii="Calibri" w:hAnsi="Calibri" w:cs="Calibri"/>
          <w:color w:val="444444"/>
          <w:shd w:val="clear" w:color="auto" w:fill="FFFFFF"/>
        </w:rPr>
        <w:t xml:space="preserve"> (fully implemented but subject to continuous improvement)</w:t>
      </w:r>
    </w:p>
    <w:p w14:paraId="37727156" w14:textId="42BF7487" w:rsidR="00B82428" w:rsidRPr="008A5037" w:rsidRDefault="00B82428" w:rsidP="00F22DBF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  <w:color w:val="444444"/>
          <w:shd w:val="clear" w:color="auto" w:fill="FFFFFF"/>
        </w:rPr>
      </w:pPr>
      <w:r w:rsidRPr="008A5037">
        <w:rPr>
          <w:rFonts w:ascii="Calibri" w:hAnsi="Calibri" w:cs="Calibri"/>
          <w:b/>
          <w:color w:val="444444"/>
          <w:shd w:val="clear" w:color="auto" w:fill="FFFFFF"/>
        </w:rPr>
        <w:t>Partially Compliant</w:t>
      </w:r>
      <w:r w:rsidRPr="008A5037">
        <w:rPr>
          <w:rFonts w:ascii="Calibri" w:hAnsi="Calibri" w:cs="Calibri"/>
          <w:color w:val="444444"/>
          <w:shd w:val="clear" w:color="auto" w:fill="FFFFFF"/>
        </w:rPr>
        <w:t xml:space="preserve"> (work done / more to do)</w:t>
      </w:r>
    </w:p>
    <w:p w14:paraId="415EB34B" w14:textId="06D67D28" w:rsidR="00B82428" w:rsidRPr="00F22DBF" w:rsidRDefault="00B82428" w:rsidP="00F22DBF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cs="Arial"/>
        </w:rPr>
      </w:pPr>
      <w:r w:rsidRPr="00F22DBF">
        <w:rPr>
          <w:rFonts w:ascii="Calibri" w:hAnsi="Calibri" w:cs="Calibri"/>
          <w:b/>
          <w:color w:val="444444"/>
          <w:shd w:val="clear" w:color="auto" w:fill="FFFFFF"/>
        </w:rPr>
        <w:t>Not Yet Compliant</w:t>
      </w:r>
      <w:r w:rsidRPr="00F22DBF">
        <w:rPr>
          <w:rFonts w:ascii="Calibri" w:hAnsi="Calibri" w:cs="Calibri"/>
          <w:color w:val="444444"/>
          <w:shd w:val="clear" w:color="auto" w:fill="FFFFFF"/>
        </w:rPr>
        <w:t xml:space="preserve"> (in scope but yet to start)</w:t>
      </w:r>
    </w:p>
    <w:p w14:paraId="1A788482" w14:textId="4F5E917E" w:rsidR="00B82428" w:rsidRPr="007947BF" w:rsidRDefault="00B82428" w:rsidP="00F22DBF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cs="Arial"/>
        </w:rPr>
      </w:pPr>
      <w:r w:rsidRPr="008A5037">
        <w:rPr>
          <w:rFonts w:ascii="Calibri" w:hAnsi="Calibri" w:cs="Calibri"/>
          <w:b/>
          <w:color w:val="444444"/>
          <w:shd w:val="clear" w:color="auto" w:fill="FFFFFF"/>
        </w:rPr>
        <w:t>Noted</w:t>
      </w:r>
      <w:r w:rsidRPr="008A5037">
        <w:rPr>
          <w:rFonts w:ascii="Calibri" w:hAnsi="Calibri" w:cs="Calibri"/>
          <w:color w:val="444444"/>
          <w:shd w:val="clear" w:color="auto" w:fill="FFFFFF"/>
        </w:rPr>
        <w:t xml:space="preserve"> (no further action required)</w:t>
      </w:r>
    </w:p>
    <w:p w14:paraId="6DC42610" w14:textId="0B6EF6CA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Risk control/management/treatment: management controls or measures implemented to eliminate or mitigate the level of risk</w:t>
      </w:r>
    </w:p>
    <w:p w14:paraId="18F53764" w14:textId="45760100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Risk transfer: a method of control the level of risk e.g. purchase of insurance or engaging with a third party to own the risk and manage it</w:t>
      </w:r>
    </w:p>
    <w:p w14:paraId="125AA94F" w14:textId="54222180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 xml:space="preserve">Risk appetite: the amount of risk the ETB is willing to bear </w:t>
      </w:r>
    </w:p>
    <w:p w14:paraId="3B1DF518" w14:textId="2945D9DC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 xml:space="preserve">Risk register: database/repository of identified risks; it acts as a management tool for the documentation of identified risks </w:t>
      </w:r>
    </w:p>
    <w:p w14:paraId="075078CE" w14:textId="2DFF48EA" w:rsidR="00C552D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Audit: is a systematic, independent and documented process for obtaining audit evidence and evaluating it objectively to determine the extent to which audit criteria are fulfilled (OHSAS 18001:2007)</w:t>
      </w:r>
    </w:p>
    <w:p w14:paraId="35373D92" w14:textId="406A2512" w:rsidR="00E91D45" w:rsidRPr="007947BF" w:rsidRDefault="00E91D45" w:rsidP="00F22DBF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Compliance: the act of being in alignment with legislation, codes of practice, standards and guidance (</w:t>
      </w:r>
      <w:hyperlink r:id="rId9" w:history="1">
        <w:r w:rsidRPr="007947BF">
          <w:rPr>
            <w:rFonts w:cs="Arial"/>
          </w:rPr>
          <w:t>http://searchdatamanagement.techtarget.com/definition/compliance</w:t>
        </w:r>
      </w:hyperlink>
      <w:r w:rsidRPr="007947BF">
        <w:rPr>
          <w:rFonts w:cs="Arial"/>
        </w:rPr>
        <w:t xml:space="preserve">). </w:t>
      </w:r>
    </w:p>
    <w:p w14:paraId="2341CF80" w14:textId="77777777" w:rsidR="00E91D45" w:rsidRPr="007947BF" w:rsidRDefault="00E91D45" w:rsidP="00300C63">
      <w:pPr>
        <w:pStyle w:val="ListParagraph"/>
        <w:spacing w:after="0" w:line="240" w:lineRule="auto"/>
        <w:ind w:left="0" w:hanging="567"/>
        <w:jc w:val="both"/>
        <w:rPr>
          <w:rFonts w:cs="Arial"/>
        </w:rPr>
      </w:pPr>
    </w:p>
    <w:p w14:paraId="2EC22397" w14:textId="161A6DCF" w:rsidR="007423FB" w:rsidRDefault="007423FB" w:rsidP="00300C63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0EF36323" w14:textId="4B03A08C" w:rsidR="00647DF4" w:rsidRDefault="00647DF4" w:rsidP="00300C63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6532F452" w14:textId="77777777" w:rsidR="00647DF4" w:rsidRPr="007947BF" w:rsidRDefault="00647DF4" w:rsidP="00300C63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22A98E94" w14:textId="7FBAE16F" w:rsidR="00F21A37" w:rsidRPr="000C4C4C" w:rsidRDefault="00F21A37" w:rsidP="003D5B05">
      <w:pPr>
        <w:pStyle w:val="ListParagraph"/>
        <w:numPr>
          <w:ilvl w:val="0"/>
          <w:numId w:val="46"/>
        </w:numPr>
        <w:spacing w:after="0" w:line="240" w:lineRule="auto"/>
        <w:ind w:left="0"/>
        <w:jc w:val="both"/>
        <w:rPr>
          <w:rFonts w:cs="Arial"/>
          <w:color w:val="0070C0"/>
          <w:u w:val="single"/>
        </w:rPr>
      </w:pPr>
      <w:r w:rsidRPr="000C4C4C">
        <w:rPr>
          <w:rFonts w:cs="Arial"/>
          <w:color w:val="0070C0"/>
          <w:u w:val="single"/>
        </w:rPr>
        <w:lastRenderedPageBreak/>
        <w:t>Risk Assessment</w:t>
      </w:r>
    </w:p>
    <w:p w14:paraId="42FF78C5" w14:textId="70C78AE9" w:rsidR="00045B51" w:rsidRPr="007947BF" w:rsidRDefault="00E91D45" w:rsidP="00300C63">
      <w:pPr>
        <w:spacing w:after="0" w:line="240" w:lineRule="auto"/>
        <w:jc w:val="both"/>
        <w:rPr>
          <w:rFonts w:cs="Arial"/>
          <w:color w:val="0070C0"/>
        </w:rPr>
      </w:pPr>
      <w:r w:rsidRPr="007947BF">
        <w:rPr>
          <w:rFonts w:cs="Arial"/>
        </w:rPr>
        <w:t>The risks to the successf</w:t>
      </w:r>
      <w:r w:rsidR="008226EC">
        <w:rPr>
          <w:rFonts w:cs="Arial"/>
        </w:rPr>
        <w:t xml:space="preserve">ul achievement of the </w:t>
      </w:r>
      <w:r w:rsidRPr="007947BF">
        <w:rPr>
          <w:rFonts w:cs="Arial"/>
        </w:rPr>
        <w:t>Statement</w:t>
      </w:r>
      <w:r w:rsidR="008226EC">
        <w:rPr>
          <w:rFonts w:cs="Arial"/>
        </w:rPr>
        <w:t xml:space="preserve"> of Strategy</w:t>
      </w:r>
      <w:r w:rsidRPr="007947BF">
        <w:rPr>
          <w:rFonts w:cs="Arial"/>
        </w:rPr>
        <w:t xml:space="preserve"> shall be identified, assessed, managed and monitored on a predetermined basis:</w:t>
      </w:r>
    </w:p>
    <w:p w14:paraId="5DC8F5FB" w14:textId="2912D0A4" w:rsidR="00045B51" w:rsidRPr="00A95B96" w:rsidRDefault="00E91D45" w:rsidP="00A95B96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A95B96">
        <w:rPr>
          <w:rFonts w:cs="Arial"/>
        </w:rPr>
        <w:t xml:space="preserve">New risks arising from a new Strategic Statement shall be identified, assessed, managed and monitored </w:t>
      </w:r>
    </w:p>
    <w:p w14:paraId="019184EA" w14:textId="63B6A05F" w:rsidR="00045B51" w:rsidRPr="00BC7ACB" w:rsidRDefault="00E91D45" w:rsidP="00A95B96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BC7ACB">
        <w:rPr>
          <w:rFonts w:cs="Arial"/>
        </w:rPr>
        <w:t>New risks shall be identified arising from:</w:t>
      </w:r>
    </w:p>
    <w:p w14:paraId="46A4B99B" w14:textId="77777777" w:rsidR="00045B51" w:rsidRPr="008001A8" w:rsidRDefault="00045B51" w:rsidP="00300C6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Non-conformances</w:t>
      </w:r>
    </w:p>
    <w:p w14:paraId="38715CC8" w14:textId="77777777" w:rsidR="00045B51" w:rsidRPr="008001A8" w:rsidRDefault="00045B51" w:rsidP="00300C6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Incidents</w:t>
      </w:r>
    </w:p>
    <w:p w14:paraId="7001320E" w14:textId="77777777" w:rsidR="00045B51" w:rsidRPr="008001A8" w:rsidRDefault="00045B51" w:rsidP="00300C6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Near misses</w:t>
      </w:r>
    </w:p>
    <w:p w14:paraId="78EA3546" w14:textId="77777777" w:rsidR="00045B51" w:rsidRPr="008001A8" w:rsidRDefault="00045B51" w:rsidP="00300C6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Complaints</w:t>
      </w:r>
    </w:p>
    <w:p w14:paraId="4C0AB7BD" w14:textId="77777777" w:rsidR="00045B51" w:rsidRPr="008001A8" w:rsidRDefault="00045B51" w:rsidP="00300C6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Claims</w:t>
      </w:r>
    </w:p>
    <w:p w14:paraId="5237AA7F" w14:textId="6183EFD9" w:rsidR="00045B51" w:rsidRPr="00E93E0F" w:rsidRDefault="00E91D45" w:rsidP="00A95B96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E93E0F">
        <w:rPr>
          <w:rFonts w:cs="Arial"/>
        </w:rPr>
        <w:t>All risks shall be reassessed on a predetermined basis so that an up to date risk assessment is</w:t>
      </w:r>
      <w:r w:rsidR="008402E4">
        <w:rPr>
          <w:rFonts w:cs="Arial"/>
        </w:rPr>
        <w:t xml:space="preserve"> </w:t>
      </w:r>
      <w:r w:rsidR="00BC7ACB" w:rsidRPr="00E93E0F">
        <w:rPr>
          <w:rFonts w:cs="Arial"/>
        </w:rPr>
        <w:t>a</w:t>
      </w:r>
      <w:r w:rsidRPr="00E93E0F">
        <w:rPr>
          <w:rFonts w:cs="Arial"/>
        </w:rPr>
        <w:t>vailable to support the management of risk</w:t>
      </w:r>
    </w:p>
    <w:p w14:paraId="3C94A600" w14:textId="0137CF2E" w:rsidR="00045B51" w:rsidRPr="00BC7ACB" w:rsidRDefault="00E91D45" w:rsidP="00A95B96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BC7ACB">
        <w:rPr>
          <w:rFonts w:cs="Arial"/>
        </w:rPr>
        <w:t xml:space="preserve">Risks shall be assessed using a qualitative approach (see appendix 2) </w:t>
      </w:r>
    </w:p>
    <w:p w14:paraId="2DB11C00" w14:textId="633A46EC" w:rsidR="00045B51" w:rsidRPr="00BC7ACB" w:rsidRDefault="00E91D45" w:rsidP="00A95B96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BC7ACB">
        <w:rPr>
          <w:rFonts w:cs="Arial"/>
        </w:rPr>
        <w:t>The effectiveness of management controls shall be reported on at predetermined intervals to</w:t>
      </w:r>
      <w:r w:rsidR="00A95B96">
        <w:rPr>
          <w:rFonts w:cs="Arial"/>
        </w:rPr>
        <w:t xml:space="preserve"> </w:t>
      </w:r>
      <w:r w:rsidRPr="00BC7ACB">
        <w:rPr>
          <w:rFonts w:cs="Arial"/>
        </w:rPr>
        <w:t xml:space="preserve">the Senior Management Team and the Audit </w:t>
      </w:r>
      <w:r w:rsidR="008226EC">
        <w:rPr>
          <w:rFonts w:cs="Arial"/>
        </w:rPr>
        <w:t xml:space="preserve">and Risk </w:t>
      </w:r>
      <w:r w:rsidRPr="00BC7ACB">
        <w:rPr>
          <w:rFonts w:cs="Arial"/>
        </w:rPr>
        <w:t>Committee (see appendix 1 for report template):</w:t>
      </w:r>
    </w:p>
    <w:p w14:paraId="7E8C0935" w14:textId="77777777" w:rsidR="00045B51" w:rsidRPr="008001A8" w:rsidRDefault="00045B51" w:rsidP="00300C6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 xml:space="preserve">High level risks every three months </w:t>
      </w:r>
    </w:p>
    <w:p w14:paraId="5D4A34F5" w14:textId="77777777" w:rsidR="00045B51" w:rsidRPr="008001A8" w:rsidRDefault="00045B51" w:rsidP="00300C6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Medium level risks every six months</w:t>
      </w:r>
    </w:p>
    <w:p w14:paraId="02DE7AD7" w14:textId="77777777" w:rsidR="00045B51" w:rsidRPr="008001A8" w:rsidRDefault="00045B51" w:rsidP="00300C6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8001A8">
        <w:rPr>
          <w:rFonts w:cs="Arial"/>
        </w:rPr>
        <w:t>Low level risks on an annual basis or more frequently if circumstances change</w:t>
      </w:r>
    </w:p>
    <w:p w14:paraId="2C1B49CC" w14:textId="4B2CDF98" w:rsidR="00045B51" w:rsidRPr="00BC7ACB" w:rsidRDefault="00E91D45" w:rsidP="00A95B96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BC7ACB">
        <w:rPr>
          <w:rFonts w:cs="Arial"/>
        </w:rPr>
        <w:t xml:space="preserve">Line management shall facilitate audit of the risk management system </w:t>
      </w:r>
    </w:p>
    <w:p w14:paraId="2F6D5382" w14:textId="1F4732B3" w:rsidR="00F21A37" w:rsidRPr="00BC7ACB" w:rsidRDefault="00E91D45" w:rsidP="00A95B96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BC7ACB">
        <w:rPr>
          <w:rFonts w:cs="Arial"/>
        </w:rPr>
        <w:t>Line management shall implement corrective and preventive action identified as necessary from monitoring and audit exercises</w:t>
      </w:r>
    </w:p>
    <w:p w14:paraId="0FAB8207" w14:textId="15E0485E" w:rsidR="00F21A37" w:rsidRDefault="00F21A37" w:rsidP="00F21A37">
      <w:pPr>
        <w:spacing w:after="0" w:line="240" w:lineRule="auto"/>
        <w:jc w:val="both"/>
        <w:rPr>
          <w:rFonts w:cs="Arial"/>
          <w:color w:val="0070C0"/>
        </w:rPr>
      </w:pPr>
    </w:p>
    <w:p w14:paraId="5844E928" w14:textId="77777777" w:rsidR="00F21A37" w:rsidRPr="00F21A37" w:rsidRDefault="00F21A37" w:rsidP="00F21A37">
      <w:pPr>
        <w:spacing w:after="0" w:line="240" w:lineRule="auto"/>
        <w:jc w:val="both"/>
        <w:rPr>
          <w:rFonts w:cs="Arial"/>
          <w:color w:val="0070C0"/>
        </w:rPr>
      </w:pPr>
    </w:p>
    <w:p w14:paraId="32D32621" w14:textId="38005E0E" w:rsidR="00F21A37" w:rsidRPr="000C4C4C" w:rsidRDefault="008A5037" w:rsidP="00A95B96">
      <w:pPr>
        <w:pStyle w:val="ListParagraph"/>
        <w:numPr>
          <w:ilvl w:val="0"/>
          <w:numId w:val="46"/>
        </w:numPr>
        <w:spacing w:after="0" w:line="240" w:lineRule="auto"/>
        <w:ind w:left="0"/>
        <w:jc w:val="both"/>
        <w:rPr>
          <w:rFonts w:cs="Arial"/>
          <w:color w:val="0070C0"/>
          <w:u w:val="single"/>
        </w:rPr>
      </w:pPr>
      <w:r w:rsidRPr="000C4C4C">
        <w:rPr>
          <w:rFonts w:cs="Arial"/>
          <w:color w:val="0070C0"/>
          <w:u w:val="single"/>
        </w:rPr>
        <w:t xml:space="preserve">Assurance </w:t>
      </w:r>
    </w:p>
    <w:p w14:paraId="52D31E7B" w14:textId="0D06FDD9" w:rsidR="00F21A37" w:rsidRDefault="0075788F" w:rsidP="00F21A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The Board through an Audit and Risk Committee will seek assurance </w:t>
      </w:r>
    </w:p>
    <w:p w14:paraId="30188FA0" w14:textId="3DEB6EEF" w:rsidR="00F21A37" w:rsidRDefault="00F21A37" w:rsidP="00F21A37">
      <w:pPr>
        <w:spacing w:after="0" w:line="240" w:lineRule="auto"/>
        <w:jc w:val="both"/>
        <w:rPr>
          <w:rFonts w:cs="Arial"/>
        </w:rPr>
      </w:pPr>
    </w:p>
    <w:p w14:paraId="0C0B980D" w14:textId="77777777" w:rsidR="00F21A37" w:rsidRPr="00F21A37" w:rsidRDefault="00F21A37" w:rsidP="00F21A37">
      <w:pPr>
        <w:spacing w:after="0" w:line="240" w:lineRule="auto"/>
        <w:jc w:val="both"/>
        <w:rPr>
          <w:rFonts w:cs="Arial"/>
        </w:rPr>
      </w:pPr>
    </w:p>
    <w:p w14:paraId="5F06C0B3" w14:textId="371EA118" w:rsidR="00F21A37" w:rsidRPr="000C4C4C" w:rsidRDefault="00F21A37" w:rsidP="00A95B96">
      <w:pPr>
        <w:pStyle w:val="ListParagraph"/>
        <w:numPr>
          <w:ilvl w:val="0"/>
          <w:numId w:val="46"/>
        </w:numPr>
        <w:spacing w:after="0" w:line="240" w:lineRule="auto"/>
        <w:ind w:left="0"/>
        <w:jc w:val="both"/>
        <w:rPr>
          <w:rFonts w:cs="Arial"/>
          <w:color w:val="0070C0"/>
          <w:u w:val="single"/>
        </w:rPr>
      </w:pPr>
      <w:r w:rsidRPr="000C4C4C">
        <w:rPr>
          <w:rFonts w:cs="Arial"/>
          <w:color w:val="0070C0"/>
          <w:u w:val="single"/>
        </w:rPr>
        <w:t>Monitoring and audit</w:t>
      </w:r>
    </w:p>
    <w:p w14:paraId="0D0AFBAD" w14:textId="77777777" w:rsidR="00A95B96" w:rsidRDefault="00F21A37" w:rsidP="00A95B96">
      <w:pPr>
        <w:tabs>
          <w:tab w:val="left" w:pos="-142"/>
        </w:tabs>
        <w:spacing w:after="0" w:line="240" w:lineRule="auto"/>
        <w:jc w:val="both"/>
        <w:rPr>
          <w:rFonts w:cs="Arial"/>
        </w:rPr>
      </w:pPr>
      <w:r w:rsidRPr="007947BF">
        <w:rPr>
          <w:rFonts w:cs="Arial"/>
        </w:rPr>
        <w:t>Monitoring and audit shall be undertaken by:</w:t>
      </w:r>
    </w:p>
    <w:p w14:paraId="5E7267C1" w14:textId="06C3DB60" w:rsidR="00F21A37" w:rsidRPr="008226EC" w:rsidRDefault="00F21A37" w:rsidP="008226EC">
      <w:pPr>
        <w:pStyle w:val="ListParagraph"/>
        <w:numPr>
          <w:ilvl w:val="1"/>
          <w:numId w:val="46"/>
        </w:numPr>
        <w:tabs>
          <w:tab w:val="left" w:pos="-142"/>
        </w:tabs>
        <w:spacing w:after="0" w:line="240" w:lineRule="auto"/>
        <w:jc w:val="both"/>
        <w:rPr>
          <w:rFonts w:cs="Arial"/>
        </w:rPr>
      </w:pPr>
      <w:r w:rsidRPr="00A95B96">
        <w:rPr>
          <w:rFonts w:cs="Arial"/>
        </w:rPr>
        <w:t xml:space="preserve">Line management with the support of </w:t>
      </w:r>
      <w:r w:rsidR="008226EC">
        <w:rPr>
          <w:rFonts w:cs="Arial"/>
        </w:rPr>
        <w:t>appropriately trained staff</w:t>
      </w:r>
    </w:p>
    <w:p w14:paraId="66033273" w14:textId="4C3D3977" w:rsidR="00F21A37" w:rsidRPr="00DC40A4" w:rsidRDefault="00F21A37" w:rsidP="00A95B96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DC40A4">
        <w:rPr>
          <w:rFonts w:cs="Arial"/>
        </w:rPr>
        <w:t>Internal Auditor shall undertake audit of the risk management system at pre-determined intervals</w:t>
      </w:r>
    </w:p>
    <w:p w14:paraId="23B34FBA" w14:textId="7F16530E" w:rsidR="00F21A37" w:rsidRPr="00DC40A4" w:rsidRDefault="00F21A37" w:rsidP="00A95B96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="Arial"/>
        </w:rPr>
      </w:pPr>
      <w:r w:rsidRPr="00DC40A4">
        <w:rPr>
          <w:rFonts w:cs="Arial"/>
        </w:rPr>
        <w:t>Comptroller and Auditor General shall be facilitated to undertake audit of the risk management system.</w:t>
      </w:r>
    </w:p>
    <w:p w14:paraId="0719BBF3" w14:textId="0C2B1763" w:rsidR="00F21A37" w:rsidRDefault="00F21A37" w:rsidP="00F21A37">
      <w:pPr>
        <w:spacing w:after="0" w:line="240" w:lineRule="auto"/>
        <w:jc w:val="both"/>
        <w:rPr>
          <w:rFonts w:cs="Arial"/>
          <w:color w:val="0070C0"/>
        </w:rPr>
      </w:pPr>
    </w:p>
    <w:p w14:paraId="4AA52AAD" w14:textId="77777777" w:rsidR="00F21A37" w:rsidRDefault="00F21A37" w:rsidP="00F21A37">
      <w:pPr>
        <w:spacing w:after="0" w:line="240" w:lineRule="auto"/>
        <w:jc w:val="both"/>
        <w:rPr>
          <w:rFonts w:cs="Arial"/>
          <w:color w:val="0070C0"/>
        </w:rPr>
      </w:pPr>
    </w:p>
    <w:p w14:paraId="2AB70335" w14:textId="176B97CB" w:rsidR="00E91D45" w:rsidRPr="007947BF" w:rsidRDefault="00E91D45" w:rsidP="00300C63">
      <w:pPr>
        <w:spacing w:after="0" w:line="240" w:lineRule="auto"/>
        <w:jc w:val="both"/>
      </w:pPr>
    </w:p>
    <w:p w14:paraId="4A02C159" w14:textId="77777777" w:rsidR="00E91D45" w:rsidRPr="007947BF" w:rsidRDefault="00E91D45" w:rsidP="00F21A37">
      <w:pPr>
        <w:spacing w:after="0" w:line="240" w:lineRule="auto"/>
      </w:pPr>
      <w:r w:rsidRPr="007947BF">
        <w:rPr>
          <w:b/>
        </w:rPr>
        <w:t xml:space="preserve">Approved By:  </w:t>
      </w:r>
      <w:r w:rsidRPr="007947BF">
        <w:t>Dublin and Dún Laoghaire Education and Training Board</w:t>
      </w:r>
    </w:p>
    <w:p w14:paraId="66C05CE7" w14:textId="77777777" w:rsidR="00E91D45" w:rsidRPr="007947BF" w:rsidRDefault="00E91D45" w:rsidP="00F21A37">
      <w:pPr>
        <w:spacing w:after="0" w:line="240" w:lineRule="auto"/>
      </w:pPr>
    </w:p>
    <w:p w14:paraId="7CB9077F" w14:textId="77777777" w:rsidR="00E91D45" w:rsidRPr="007947BF" w:rsidRDefault="00E91D45" w:rsidP="00F21A37">
      <w:pPr>
        <w:spacing w:after="0" w:line="240" w:lineRule="auto"/>
      </w:pPr>
    </w:p>
    <w:p w14:paraId="61617D75" w14:textId="0C591AD9" w:rsidR="00E91D45" w:rsidRPr="00D315EF" w:rsidRDefault="00E91D45" w:rsidP="00F21A37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7947BF">
        <w:rPr>
          <w:b/>
        </w:rPr>
        <w:t xml:space="preserve">Date:  </w:t>
      </w:r>
      <w:r w:rsidR="0054283D">
        <w:rPr>
          <w:b/>
          <w:u w:val="single"/>
        </w:rPr>
        <w:t>__</w:t>
      </w:r>
      <w:r w:rsidR="00CA51A1">
        <w:rPr>
          <w:b/>
          <w:u w:val="single"/>
        </w:rPr>
        <w:t>11</w:t>
      </w:r>
      <w:r w:rsidR="00CA51A1" w:rsidRPr="00CA51A1">
        <w:rPr>
          <w:b/>
          <w:u w:val="single"/>
          <w:vertAlign w:val="superscript"/>
        </w:rPr>
        <w:t>th</w:t>
      </w:r>
      <w:r w:rsidR="00CA51A1">
        <w:rPr>
          <w:b/>
          <w:u w:val="single"/>
        </w:rPr>
        <w:t xml:space="preserve"> May</w:t>
      </w:r>
      <w:r w:rsidR="00EB3788" w:rsidRPr="009F00AA">
        <w:rPr>
          <w:b/>
          <w:u w:val="single"/>
        </w:rPr>
        <w:t xml:space="preserve"> 2020</w:t>
      </w:r>
      <w:r w:rsidRPr="009F00AA">
        <w:rPr>
          <w:b/>
          <w:u w:val="single"/>
        </w:rPr>
        <w:t>___________</w:t>
      </w:r>
      <w:r w:rsidRPr="00D315EF">
        <w:rPr>
          <w:rFonts w:cs="Arial"/>
          <w:b/>
          <w:sz w:val="24"/>
          <w:szCs w:val="24"/>
          <w:u w:val="single"/>
        </w:rPr>
        <w:br w:type="page"/>
      </w:r>
    </w:p>
    <w:p w14:paraId="7416E81D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  <w:sectPr w:rsidR="00E91D45" w:rsidRPr="00D315EF" w:rsidSect="003D5B05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D38EFB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315EF">
        <w:rPr>
          <w:rFonts w:cs="Arial"/>
          <w:b/>
          <w:sz w:val="24"/>
          <w:szCs w:val="24"/>
        </w:rPr>
        <w:lastRenderedPageBreak/>
        <w:t>Appendix 1: Risk Reporting Template</w:t>
      </w:r>
    </w:p>
    <w:p w14:paraId="158201ED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337"/>
        <w:gridCol w:w="2496"/>
        <w:gridCol w:w="1824"/>
        <w:gridCol w:w="1184"/>
        <w:gridCol w:w="3317"/>
      </w:tblGrid>
      <w:tr w:rsidR="00E91D45" w:rsidRPr="00D315EF" w14:paraId="070D1999" w14:textId="77777777" w:rsidTr="00647DF4">
        <w:tc>
          <w:tcPr>
            <w:tcW w:w="1790" w:type="dxa"/>
            <w:shd w:val="clear" w:color="auto" w:fill="auto"/>
          </w:tcPr>
          <w:p w14:paraId="37909B05" w14:textId="77777777" w:rsidR="00E91D45" w:rsidRPr="00D315EF" w:rsidRDefault="00E91D45" w:rsidP="006623A0">
            <w:pPr>
              <w:rPr>
                <w:rFonts w:cs="Arial"/>
                <w:b/>
                <w:sz w:val="24"/>
                <w:szCs w:val="24"/>
              </w:rPr>
            </w:pPr>
            <w:r w:rsidRPr="00D315EF">
              <w:rPr>
                <w:rFonts w:cs="Arial"/>
                <w:b/>
                <w:sz w:val="24"/>
                <w:szCs w:val="24"/>
              </w:rPr>
              <w:t>Risk grouping</w:t>
            </w:r>
          </w:p>
        </w:tc>
        <w:tc>
          <w:tcPr>
            <w:tcW w:w="5833" w:type="dxa"/>
            <w:gridSpan w:val="2"/>
            <w:shd w:val="clear" w:color="auto" w:fill="auto"/>
          </w:tcPr>
          <w:p w14:paraId="4197D1F4" w14:textId="77777777" w:rsidR="00E91D45" w:rsidRPr="00D315EF" w:rsidRDefault="00E91D45" w:rsidP="006623A0">
            <w:pPr>
              <w:rPr>
                <w:rFonts w:cs="Arial"/>
                <w:b/>
                <w:sz w:val="24"/>
                <w:szCs w:val="24"/>
              </w:rPr>
            </w:pPr>
            <w:r w:rsidRPr="00D315EF">
              <w:rPr>
                <w:rFonts w:cs="Arial"/>
                <w:b/>
                <w:sz w:val="24"/>
                <w:szCs w:val="24"/>
              </w:rPr>
              <w:t>Risk description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785E4DE3" w14:textId="77777777" w:rsidR="00E91D45" w:rsidRPr="00D315EF" w:rsidRDefault="00E91D45" w:rsidP="006623A0">
            <w:pPr>
              <w:rPr>
                <w:rFonts w:cs="Arial"/>
                <w:b/>
                <w:sz w:val="24"/>
                <w:szCs w:val="24"/>
              </w:rPr>
            </w:pPr>
            <w:r w:rsidRPr="00D315EF">
              <w:rPr>
                <w:rFonts w:cs="Arial"/>
                <w:b/>
                <w:sz w:val="24"/>
                <w:szCs w:val="24"/>
              </w:rPr>
              <w:t>Risk rating before new controls implemented</w:t>
            </w:r>
          </w:p>
        </w:tc>
        <w:tc>
          <w:tcPr>
            <w:tcW w:w="3317" w:type="dxa"/>
            <w:shd w:val="clear" w:color="auto" w:fill="auto"/>
          </w:tcPr>
          <w:p w14:paraId="54DEEBE9" w14:textId="77777777" w:rsidR="00E91D45" w:rsidRPr="00D315EF" w:rsidRDefault="00E91D45" w:rsidP="006623A0">
            <w:pPr>
              <w:rPr>
                <w:rFonts w:cs="Arial"/>
                <w:b/>
                <w:sz w:val="24"/>
                <w:szCs w:val="24"/>
              </w:rPr>
            </w:pPr>
            <w:r w:rsidRPr="00D315EF">
              <w:rPr>
                <w:rFonts w:cs="Arial"/>
                <w:b/>
                <w:sz w:val="24"/>
                <w:szCs w:val="24"/>
              </w:rPr>
              <w:t>Risk rating after new controls implemented</w:t>
            </w:r>
          </w:p>
        </w:tc>
      </w:tr>
      <w:tr w:rsidR="00E91D45" w:rsidRPr="00D315EF" w14:paraId="61E230BA" w14:textId="77777777" w:rsidTr="00647DF4">
        <w:tc>
          <w:tcPr>
            <w:tcW w:w="1790" w:type="dxa"/>
            <w:shd w:val="clear" w:color="auto" w:fill="auto"/>
          </w:tcPr>
          <w:p w14:paraId="1C9BAECB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</w:p>
          <w:p w14:paraId="1B8D5BAB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</w:p>
          <w:p w14:paraId="19027242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shd w:val="clear" w:color="auto" w:fill="auto"/>
          </w:tcPr>
          <w:p w14:paraId="0DE61E3A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shd w:val="clear" w:color="auto" w:fill="auto"/>
          </w:tcPr>
          <w:p w14:paraId="50225F27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51A92AF7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</w:p>
        </w:tc>
      </w:tr>
      <w:tr w:rsidR="00E91D45" w:rsidRPr="00D315EF" w14:paraId="4CF8A0E0" w14:textId="77777777" w:rsidTr="00647DF4">
        <w:tc>
          <w:tcPr>
            <w:tcW w:w="5127" w:type="dxa"/>
            <w:gridSpan w:val="2"/>
            <w:shd w:val="clear" w:color="auto" w:fill="auto"/>
          </w:tcPr>
          <w:p w14:paraId="3D743819" w14:textId="77777777" w:rsidR="00E91D45" w:rsidRPr="00D315EF" w:rsidRDefault="00E91D45" w:rsidP="006623A0">
            <w:pPr>
              <w:rPr>
                <w:rFonts w:cs="Arial"/>
                <w:b/>
                <w:sz w:val="24"/>
                <w:szCs w:val="24"/>
              </w:rPr>
            </w:pPr>
            <w:r w:rsidRPr="00D315EF">
              <w:rPr>
                <w:rFonts w:cs="Arial"/>
                <w:b/>
                <w:sz w:val="24"/>
                <w:szCs w:val="24"/>
              </w:rPr>
              <w:t>Description of actions undertaken since last report</w:t>
            </w:r>
          </w:p>
          <w:p w14:paraId="2E98D978" w14:textId="77777777" w:rsidR="00E91D45" w:rsidRPr="00D315EF" w:rsidRDefault="00E91D45" w:rsidP="006623A0">
            <w:pPr>
              <w:rPr>
                <w:rFonts w:cs="Arial"/>
                <w:b/>
                <w:sz w:val="24"/>
                <w:szCs w:val="24"/>
              </w:rPr>
            </w:pPr>
          </w:p>
          <w:p w14:paraId="38DBA7E3" w14:textId="77777777" w:rsidR="00E91D45" w:rsidRPr="00D315EF" w:rsidRDefault="00E91D45" w:rsidP="006623A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DC47A64" w14:textId="77777777" w:rsidR="00E91D45" w:rsidRPr="00D315EF" w:rsidRDefault="00E91D45" w:rsidP="006623A0">
            <w:pPr>
              <w:rPr>
                <w:rFonts w:cs="Arial"/>
                <w:b/>
                <w:sz w:val="24"/>
                <w:szCs w:val="24"/>
              </w:rPr>
            </w:pPr>
            <w:r w:rsidRPr="00D315EF">
              <w:rPr>
                <w:rFonts w:cs="Arial"/>
                <w:b/>
                <w:sz w:val="24"/>
                <w:szCs w:val="24"/>
              </w:rPr>
              <w:t>New actions to be undertaken in the next 3/6/12 months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559840BE" w14:textId="77777777" w:rsidR="00E91D45" w:rsidRPr="00D315EF" w:rsidRDefault="00E91D45" w:rsidP="006623A0">
            <w:pPr>
              <w:rPr>
                <w:rFonts w:cs="Arial"/>
                <w:b/>
                <w:sz w:val="24"/>
                <w:szCs w:val="24"/>
              </w:rPr>
            </w:pPr>
            <w:r w:rsidRPr="00D315EF">
              <w:rPr>
                <w:rFonts w:cs="Arial"/>
                <w:b/>
                <w:sz w:val="24"/>
                <w:szCs w:val="24"/>
              </w:rPr>
              <w:t>Identified challenges that could prevent success</w:t>
            </w:r>
          </w:p>
        </w:tc>
      </w:tr>
      <w:tr w:rsidR="00E91D45" w:rsidRPr="00D315EF" w14:paraId="7D3F171A" w14:textId="77777777" w:rsidTr="00647DF4">
        <w:tc>
          <w:tcPr>
            <w:tcW w:w="5127" w:type="dxa"/>
            <w:gridSpan w:val="2"/>
            <w:shd w:val="clear" w:color="auto" w:fill="auto"/>
          </w:tcPr>
          <w:p w14:paraId="016ECD1C" w14:textId="77777777" w:rsidR="00E91D45" w:rsidRDefault="00E91D45" w:rsidP="006623A0">
            <w:pPr>
              <w:rPr>
                <w:rFonts w:cs="Arial"/>
                <w:sz w:val="24"/>
                <w:szCs w:val="24"/>
              </w:rPr>
            </w:pPr>
          </w:p>
          <w:p w14:paraId="3ABF5EF3" w14:textId="2A93C163" w:rsidR="00647DF4" w:rsidRPr="00D315EF" w:rsidRDefault="00647DF4" w:rsidP="006623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AAA57D5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14:paraId="53F87220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</w:p>
        </w:tc>
      </w:tr>
      <w:tr w:rsidR="00E91D45" w:rsidRPr="00D315EF" w14:paraId="36817F5C" w14:textId="77777777" w:rsidTr="00647DF4"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4CB5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  <w:r w:rsidRPr="00D315EF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BD29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  <w:r w:rsidRPr="00D315EF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75AF" w14:textId="77777777" w:rsidR="00E91D45" w:rsidRPr="00D315EF" w:rsidRDefault="00E91D45" w:rsidP="006623A0">
            <w:pPr>
              <w:rPr>
                <w:rFonts w:cs="Arial"/>
                <w:sz w:val="24"/>
                <w:szCs w:val="24"/>
              </w:rPr>
            </w:pPr>
            <w:r w:rsidRPr="00D315EF">
              <w:rPr>
                <w:rFonts w:cs="Arial"/>
                <w:sz w:val="24"/>
                <w:szCs w:val="24"/>
              </w:rPr>
              <w:t>Date</w:t>
            </w:r>
          </w:p>
        </w:tc>
      </w:tr>
    </w:tbl>
    <w:p w14:paraId="4E1CC26D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  <w:sectPr w:rsidR="00E91D45" w:rsidRPr="00D315EF" w:rsidSect="006623A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BA44DE6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315EF">
        <w:rPr>
          <w:rFonts w:cs="Arial"/>
          <w:b/>
          <w:sz w:val="24"/>
          <w:szCs w:val="24"/>
        </w:rPr>
        <w:lastRenderedPageBreak/>
        <w:t>Appendix 2</w:t>
      </w:r>
    </w:p>
    <w:p w14:paraId="294D4AD8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153D1597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315EF">
        <w:rPr>
          <w:rFonts w:cs="Arial"/>
          <w:b/>
          <w:sz w:val="24"/>
          <w:szCs w:val="24"/>
        </w:rPr>
        <w:t>Assessment of risk (qualitative and quantitative matrix)</w:t>
      </w:r>
    </w:p>
    <w:p w14:paraId="63720284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27D778CB" w14:textId="0110F24F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315EF">
        <w:rPr>
          <w:rFonts w:cs="Arial"/>
          <w:sz w:val="24"/>
          <w:szCs w:val="24"/>
        </w:rPr>
        <w:t>All risks shall be</w:t>
      </w:r>
      <w:r w:rsidR="00EB3788">
        <w:rPr>
          <w:rFonts w:cs="Arial"/>
          <w:b/>
          <w:sz w:val="24"/>
          <w:szCs w:val="24"/>
        </w:rPr>
        <w:t xml:space="preserve"> </w:t>
      </w:r>
      <w:r w:rsidR="00EB3788">
        <w:rPr>
          <w:rFonts w:cs="Arial"/>
          <w:sz w:val="24"/>
          <w:szCs w:val="24"/>
        </w:rPr>
        <w:t>i</w:t>
      </w:r>
      <w:r w:rsidRPr="00D315EF">
        <w:rPr>
          <w:rFonts w:cs="Arial"/>
          <w:sz w:val="24"/>
          <w:szCs w:val="24"/>
        </w:rPr>
        <w:t>dentified using a qualitative approach as shown in the matrix below.</w:t>
      </w:r>
    </w:p>
    <w:p w14:paraId="1041BA5F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49791F2" w14:textId="77777777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D9013BB" w14:textId="2703FBBE" w:rsidR="00EB3788" w:rsidRPr="00EB3788" w:rsidRDefault="00EB3788" w:rsidP="00EB3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noProof/>
          <w:lang w:eastAsia="en-IE"/>
        </w:rPr>
        <w:drawing>
          <wp:inline distT="0" distB="0" distL="0" distR="0" wp14:anchorId="5EDD8023" wp14:editId="45B4E09F">
            <wp:extent cx="5145404" cy="3292897"/>
            <wp:effectExtent l="0" t="0" r="0" b="317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8CFBF8C-4206-4D5F-B321-C24BFE04FB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8CFBF8C-4206-4D5F-B321-C24BFE04FB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6813" cy="334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6DD0A" w14:textId="79FD38EA" w:rsidR="00E91D45" w:rsidRPr="00D315EF" w:rsidRDefault="00E91D45" w:rsidP="00E91D4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879B437" w14:textId="77777777" w:rsidR="00EB3788" w:rsidRPr="00EB3788" w:rsidRDefault="00EB3788" w:rsidP="00EB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91A803B" w14:textId="5EAD9AB0" w:rsidR="008672D1" w:rsidRDefault="008672D1" w:rsidP="00E91D45">
      <w:pPr>
        <w:shd w:val="clear" w:color="auto" w:fill="FFFFFF"/>
        <w:spacing w:after="0" w:line="240" w:lineRule="auto"/>
      </w:pPr>
    </w:p>
    <w:p w14:paraId="0C3B4786" w14:textId="77777777" w:rsidR="008672D1" w:rsidRPr="008672D1" w:rsidRDefault="008672D1" w:rsidP="008672D1"/>
    <w:p w14:paraId="2C6A42A4" w14:textId="77777777" w:rsidR="008672D1" w:rsidRPr="008672D1" w:rsidRDefault="008672D1" w:rsidP="008672D1"/>
    <w:p w14:paraId="15842BA0" w14:textId="77777777" w:rsidR="008672D1" w:rsidRPr="008672D1" w:rsidRDefault="008672D1" w:rsidP="008672D1"/>
    <w:p w14:paraId="76E01F28" w14:textId="77777777" w:rsidR="008672D1" w:rsidRPr="008672D1" w:rsidRDefault="008672D1" w:rsidP="008672D1"/>
    <w:p w14:paraId="3050FE76" w14:textId="77777777" w:rsidR="008672D1" w:rsidRPr="008672D1" w:rsidRDefault="008672D1" w:rsidP="008672D1"/>
    <w:p w14:paraId="39E8EECC" w14:textId="77777777" w:rsidR="008672D1" w:rsidRPr="008672D1" w:rsidRDefault="008672D1" w:rsidP="008672D1"/>
    <w:p w14:paraId="6E15D193" w14:textId="77777777" w:rsidR="008672D1" w:rsidRPr="008672D1" w:rsidRDefault="008672D1" w:rsidP="008672D1"/>
    <w:p w14:paraId="45144CBF" w14:textId="3D1CCD2E" w:rsidR="00BA4DAA" w:rsidRPr="008672D1" w:rsidRDefault="008672D1" w:rsidP="006830E7">
      <w:pPr>
        <w:tabs>
          <w:tab w:val="left" w:pos="2489"/>
          <w:tab w:val="left" w:pos="3904"/>
        </w:tabs>
      </w:pPr>
      <w:r>
        <w:tab/>
      </w:r>
      <w:r w:rsidR="006830E7">
        <w:tab/>
      </w:r>
    </w:p>
    <w:sectPr w:rsidR="00BA4DAA" w:rsidRPr="008672D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DE42" w14:textId="77777777" w:rsidR="00CB3747" w:rsidRDefault="00CB3747" w:rsidP="000E5FD7">
      <w:pPr>
        <w:spacing w:after="0" w:line="240" w:lineRule="auto"/>
      </w:pPr>
      <w:r>
        <w:separator/>
      </w:r>
    </w:p>
  </w:endnote>
  <w:endnote w:type="continuationSeparator" w:id="0">
    <w:p w14:paraId="0634F75E" w14:textId="77777777" w:rsidR="00CB3747" w:rsidRDefault="00CB3747" w:rsidP="000E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32339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70945964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46DF8B74" w14:textId="3F4E54CD" w:rsidR="00CA51A1" w:rsidRDefault="00A36AD9" w:rsidP="00A36AD9">
            <w:pPr>
              <w:pStyle w:val="Footer"/>
              <w:pBdr>
                <w:top w:val="thinThickSmallGap" w:sz="24" w:space="0" w:color="622423"/>
              </w:pBdr>
              <w:tabs>
                <w:tab w:val="right" w:pos="9360"/>
              </w:tabs>
            </w:pPr>
            <w:r>
              <w:rPr>
                <w:rFonts w:ascii="Cambria" w:hAnsi="Cambria"/>
              </w:rPr>
              <w:t>Ri</w:t>
            </w:r>
            <w:r w:rsidR="00CA51A1">
              <w:rPr>
                <w:rFonts w:ascii="Cambria" w:hAnsi="Cambria"/>
              </w:rPr>
              <w:t>sk Management Policy DDLETB May</w:t>
            </w:r>
            <w:r w:rsidR="008C4BC6">
              <w:rPr>
                <w:rFonts w:ascii="Cambria" w:hAnsi="Cambria"/>
              </w:rPr>
              <w:t xml:space="preserve"> 2020</w:t>
            </w:r>
            <w:r w:rsidR="008C4BC6"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  <w:t xml:space="preserve">Page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E7792" w:rsidRPr="00FE7792">
              <w:rPr>
                <w:rFonts w:ascii="Cambria" w:hAnsi="Cambria"/>
                <w:noProof/>
              </w:rPr>
              <w:t>1</w:t>
            </w:r>
            <w:r>
              <w:fldChar w:fldCharType="end"/>
            </w:r>
          </w:p>
          <w:p w14:paraId="53285738" w14:textId="77777777" w:rsidR="00CA51A1" w:rsidRDefault="00CA51A1" w:rsidP="00A36AD9">
            <w:pPr>
              <w:pStyle w:val="Footer"/>
              <w:pBdr>
                <w:top w:val="thinThickSmallGap" w:sz="24" w:space="0" w:color="622423"/>
              </w:pBdr>
              <w:tabs>
                <w:tab w:val="right" w:pos="9360"/>
              </w:tabs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CA51A1" w:rsidRPr="00063F2F" w14:paraId="5F6D2FD9" w14:textId="77777777" w:rsidTr="0026094C">
              <w:trPr>
                <w:trHeight w:val="426"/>
              </w:trPr>
              <w:tc>
                <w:tcPr>
                  <w:tcW w:w="5238" w:type="dxa"/>
                </w:tcPr>
                <w:p w14:paraId="6BC78DD9" w14:textId="53D7AC22" w:rsidR="00CA51A1" w:rsidRPr="00063F2F" w:rsidRDefault="00CA51A1" w:rsidP="00CA51A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63F2F">
                    <w:rPr>
                      <w:rFonts w:asciiTheme="majorHAnsi" w:hAnsiTheme="majorHAnsi"/>
                      <w:sz w:val="16"/>
                      <w:szCs w:val="16"/>
                    </w:rPr>
                    <w:t xml:space="preserve">Policy No:                                        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              </w:t>
                  </w:r>
                  <w:r w:rsidR="00647DF4">
                    <w:rPr>
                      <w:rFonts w:asciiTheme="majorHAnsi" w:hAnsiTheme="majorHAnsi"/>
                      <w:sz w:val="16"/>
                      <w:szCs w:val="16"/>
                    </w:rPr>
                    <w:t xml:space="preserve">                          PL/030</w:t>
                  </w:r>
                </w:p>
              </w:tc>
              <w:tc>
                <w:tcPr>
                  <w:tcW w:w="5238" w:type="dxa"/>
                </w:tcPr>
                <w:p w14:paraId="6199AC20" w14:textId="77777777" w:rsidR="00CA51A1" w:rsidRPr="00063F2F" w:rsidRDefault="00CA51A1" w:rsidP="00CA51A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63F2F">
                    <w:rPr>
                      <w:rFonts w:asciiTheme="majorHAnsi" w:hAnsiTheme="majorHAnsi"/>
                      <w:sz w:val="16"/>
                      <w:szCs w:val="16"/>
                    </w:rPr>
                    <w:t xml:space="preserve">Version No:                                      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                          </w:t>
                  </w:r>
                  <w:r w:rsidRPr="00063F2F">
                    <w:rPr>
                      <w:rFonts w:asciiTheme="majorHAnsi" w:hAnsiTheme="majorHAnsi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v1/2020</w:t>
                  </w:r>
                </w:p>
              </w:tc>
            </w:tr>
            <w:tr w:rsidR="00CA51A1" w:rsidRPr="00063F2F" w14:paraId="17C501EF" w14:textId="77777777" w:rsidTr="0026094C">
              <w:trPr>
                <w:trHeight w:val="416"/>
              </w:trPr>
              <w:tc>
                <w:tcPr>
                  <w:tcW w:w="5238" w:type="dxa"/>
                </w:tcPr>
                <w:p w14:paraId="7AD18B12" w14:textId="2C0452F9" w:rsidR="00CA51A1" w:rsidRPr="00063F2F" w:rsidRDefault="00CA51A1" w:rsidP="00CA51A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63F2F">
                    <w:rPr>
                      <w:rFonts w:asciiTheme="majorHAnsi" w:hAnsiTheme="majorHAnsi"/>
                      <w:sz w:val="16"/>
                      <w:szCs w:val="16"/>
                    </w:rPr>
                    <w:t>Previous ve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>rsions:                                                                PL/025</w:t>
                  </w:r>
                </w:p>
              </w:tc>
              <w:tc>
                <w:tcPr>
                  <w:tcW w:w="5238" w:type="dxa"/>
                </w:tcPr>
                <w:p w14:paraId="53D11950" w14:textId="6F3908E4" w:rsidR="00CA51A1" w:rsidRPr="0036070A" w:rsidRDefault="00CA51A1" w:rsidP="008F4F96">
                  <w:pPr>
                    <w:jc w:val="both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36070A">
                    <w:rPr>
                      <w:rFonts w:asciiTheme="majorHAnsi" w:hAnsiTheme="majorHAnsi"/>
                      <w:sz w:val="16"/>
                      <w:szCs w:val="16"/>
                    </w:rPr>
                    <w:t xml:space="preserve">Effective Date:                                                          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>1</w:t>
                  </w:r>
                  <w:r w:rsidR="008F4F96">
                    <w:rPr>
                      <w:rFonts w:asciiTheme="majorHAnsi" w:hAnsiTheme="majorHAnsi"/>
                      <w:sz w:val="16"/>
                      <w:szCs w:val="16"/>
                    </w:rPr>
                    <w:t>8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>/05</w:t>
                  </w:r>
                  <w:r w:rsidRPr="0036070A">
                    <w:rPr>
                      <w:rFonts w:asciiTheme="majorHAnsi" w:hAnsiTheme="majorHAnsi"/>
                      <w:sz w:val="16"/>
                      <w:szCs w:val="16"/>
                    </w:rPr>
                    <w:t>/2020</w:t>
                  </w:r>
                </w:p>
              </w:tc>
            </w:tr>
            <w:tr w:rsidR="00CA51A1" w:rsidRPr="00063F2F" w14:paraId="325B6ACD" w14:textId="77777777" w:rsidTr="0026094C">
              <w:trPr>
                <w:trHeight w:val="426"/>
              </w:trPr>
              <w:tc>
                <w:tcPr>
                  <w:tcW w:w="5238" w:type="dxa"/>
                </w:tcPr>
                <w:p w14:paraId="7BE7E891" w14:textId="70B125C2" w:rsidR="00CA51A1" w:rsidRPr="00660737" w:rsidRDefault="00CA51A1" w:rsidP="00CA51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Board App/</w:t>
                  </w:r>
                  <w:r w:rsidRPr="00660737">
                    <w:rPr>
                      <w:rFonts w:asciiTheme="majorHAnsi" w:hAnsiTheme="majorHAnsi"/>
                      <w:sz w:val="16"/>
                      <w:szCs w:val="16"/>
                    </w:rPr>
                    <w:t xml:space="preserve">Noting                          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                              18/05</w:t>
                  </w:r>
                  <w:r w:rsidRPr="00660737">
                    <w:rPr>
                      <w:rFonts w:asciiTheme="majorHAnsi" w:hAnsiTheme="majorHAnsi"/>
                      <w:sz w:val="16"/>
                      <w:szCs w:val="16"/>
                    </w:rPr>
                    <w:t>/2020</w:t>
                  </w:r>
                </w:p>
              </w:tc>
              <w:tc>
                <w:tcPr>
                  <w:tcW w:w="5238" w:type="dxa"/>
                </w:tcPr>
                <w:p w14:paraId="0AD1EC1A" w14:textId="70586F19" w:rsidR="00CA51A1" w:rsidRPr="00660737" w:rsidRDefault="00CA51A1" w:rsidP="00CA51A1">
                  <w:pPr>
                    <w:jc w:val="both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660737">
                    <w:rPr>
                      <w:rFonts w:asciiTheme="majorHAnsi" w:hAnsiTheme="majorHAnsi"/>
                      <w:sz w:val="16"/>
                      <w:szCs w:val="16"/>
                    </w:rPr>
                    <w:t xml:space="preserve">Review Date:                                                             </w:t>
                  </w:r>
                  <w:r w:rsidR="008F4F96">
                    <w:rPr>
                      <w:rFonts w:asciiTheme="majorHAnsi" w:hAnsiTheme="majorHAnsi"/>
                      <w:sz w:val="16"/>
                      <w:szCs w:val="16"/>
                    </w:rPr>
                    <w:t>18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>/05/2021</w:t>
                  </w:r>
                </w:p>
              </w:tc>
            </w:tr>
          </w:tbl>
          <w:p w14:paraId="70ABED68" w14:textId="27677426" w:rsidR="00E91D45" w:rsidRPr="00A36AD9" w:rsidRDefault="00CB3747" w:rsidP="00A36AD9">
            <w:pPr>
              <w:pStyle w:val="Footer"/>
              <w:pBdr>
                <w:top w:val="thinThickSmallGap" w:sz="24" w:space="0" w:color="622423"/>
              </w:pBdr>
              <w:tabs>
                <w:tab w:val="right" w:pos="9360"/>
              </w:tabs>
              <w:rPr>
                <w:rFonts w:ascii="Cambria" w:hAnsi="Cambria"/>
              </w:rPr>
            </w:pPr>
          </w:p>
        </w:sdtContent>
      </w:sdt>
    </w:sdtContent>
  </w:sdt>
  <w:p w14:paraId="0EBFA8B1" w14:textId="77777777" w:rsidR="00E91D45" w:rsidRDefault="00E91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955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F33A4" w14:textId="0F61D2DC" w:rsidR="00905A67" w:rsidRDefault="00A36AD9" w:rsidP="00905A67">
        <w:pPr>
          <w:pStyle w:val="Footer"/>
          <w:pBdr>
            <w:top w:val="thinThickSmallGap" w:sz="24" w:space="1" w:color="622423"/>
          </w:pBdr>
          <w:tabs>
            <w:tab w:val="right" w:pos="9360"/>
          </w:tabs>
        </w:pPr>
        <w:r>
          <w:rPr>
            <w:rFonts w:ascii="Cambria" w:hAnsi="Cambria"/>
          </w:rPr>
          <w:t>Risk Management</w:t>
        </w:r>
        <w:r w:rsidR="00905A67">
          <w:rPr>
            <w:rFonts w:ascii="Cambria" w:hAnsi="Cambria"/>
          </w:rPr>
          <w:t xml:space="preserve"> Policy DDLETB </w:t>
        </w:r>
        <w:r w:rsidR="00CA51A1">
          <w:rPr>
            <w:rFonts w:ascii="Cambria" w:hAnsi="Cambria"/>
          </w:rPr>
          <w:t>May</w:t>
        </w:r>
        <w:r w:rsidR="008672D1">
          <w:rPr>
            <w:rFonts w:ascii="Cambria" w:hAnsi="Cambria"/>
          </w:rPr>
          <w:t xml:space="preserve"> 2020</w:t>
        </w:r>
        <w:r w:rsidR="00905A67">
          <w:rPr>
            <w:rFonts w:ascii="Cambria" w:hAnsi="Cambria"/>
          </w:rPr>
          <w:t xml:space="preserve"> </w:t>
        </w:r>
        <w:r w:rsidR="00905A67">
          <w:rPr>
            <w:rFonts w:ascii="Cambria" w:hAnsi="Cambria"/>
          </w:rPr>
          <w:tab/>
          <w:t xml:space="preserve">Page </w:t>
        </w:r>
        <w:r w:rsidR="00905A67">
          <w:fldChar w:fldCharType="begin"/>
        </w:r>
        <w:r w:rsidR="00905A67">
          <w:instrText xml:space="preserve"> PAGE   \* MERGEFORMAT </w:instrText>
        </w:r>
        <w:r w:rsidR="00905A67">
          <w:fldChar w:fldCharType="separate"/>
        </w:r>
        <w:r w:rsidR="00FE7792" w:rsidRPr="00FE7792">
          <w:rPr>
            <w:rFonts w:ascii="Cambria" w:hAnsi="Cambria"/>
            <w:noProof/>
          </w:rPr>
          <w:t>7</w:t>
        </w:r>
        <w:r w:rsidR="00905A67">
          <w:fldChar w:fldCharType="end"/>
        </w:r>
      </w:p>
      <w:p w14:paraId="61C561AF" w14:textId="75E798ED" w:rsidR="00006DC1" w:rsidRDefault="00006DC1" w:rsidP="00905A67">
        <w:pPr>
          <w:pStyle w:val="Footer"/>
          <w:pBdr>
            <w:top w:val="thinThickSmallGap" w:sz="24" w:space="1" w:color="622423"/>
          </w:pBdr>
          <w:tabs>
            <w:tab w:val="right" w:pos="9360"/>
          </w:tabs>
        </w:pPr>
      </w:p>
      <w:tbl>
        <w:tblPr>
          <w:tblStyle w:val="TableGrid"/>
          <w:tblW w:w="0" w:type="auto"/>
          <w:tblLook w:val="04A0" w:firstRow="1" w:lastRow="0" w:firstColumn="1" w:lastColumn="0" w:noHBand="0" w:noVBand="1"/>
        </w:tblPr>
        <w:tblGrid>
          <w:gridCol w:w="4508"/>
          <w:gridCol w:w="4508"/>
        </w:tblGrid>
        <w:tr w:rsidR="00006DC1" w:rsidRPr="00063F2F" w14:paraId="5BF06E6E" w14:textId="77777777" w:rsidTr="0026094C">
          <w:trPr>
            <w:trHeight w:val="426"/>
          </w:trPr>
          <w:tc>
            <w:tcPr>
              <w:tcW w:w="5238" w:type="dxa"/>
            </w:tcPr>
            <w:p w14:paraId="014F23DE" w14:textId="77777777" w:rsidR="00006DC1" w:rsidRPr="00063F2F" w:rsidRDefault="00006DC1" w:rsidP="00006DC1">
              <w:pPr>
                <w:rPr>
                  <w:rFonts w:asciiTheme="majorHAnsi" w:hAnsiTheme="majorHAnsi"/>
                  <w:sz w:val="16"/>
                  <w:szCs w:val="16"/>
                </w:rPr>
              </w:pPr>
              <w:r w:rsidRPr="00063F2F">
                <w:rPr>
                  <w:rFonts w:asciiTheme="majorHAnsi" w:hAnsiTheme="majorHAnsi"/>
                  <w:sz w:val="16"/>
                  <w:szCs w:val="16"/>
                </w:rPr>
                <w:t xml:space="preserve">Policy No:                                        </w:t>
              </w:r>
              <w:r>
                <w:rPr>
                  <w:rFonts w:asciiTheme="majorHAnsi" w:hAnsiTheme="majorHAnsi"/>
                  <w:sz w:val="16"/>
                  <w:szCs w:val="16"/>
                </w:rPr>
                <w:t xml:space="preserve">                                         PL/030</w:t>
              </w:r>
            </w:p>
          </w:tc>
          <w:tc>
            <w:tcPr>
              <w:tcW w:w="5238" w:type="dxa"/>
            </w:tcPr>
            <w:p w14:paraId="541F9DAA" w14:textId="77777777" w:rsidR="00006DC1" w:rsidRPr="00063F2F" w:rsidRDefault="00006DC1" w:rsidP="00006DC1">
              <w:pPr>
                <w:rPr>
                  <w:rFonts w:asciiTheme="majorHAnsi" w:hAnsiTheme="majorHAnsi"/>
                  <w:sz w:val="16"/>
                  <w:szCs w:val="16"/>
                </w:rPr>
              </w:pPr>
              <w:r w:rsidRPr="00063F2F">
                <w:rPr>
                  <w:rFonts w:asciiTheme="majorHAnsi" w:hAnsiTheme="majorHAnsi"/>
                  <w:sz w:val="16"/>
                  <w:szCs w:val="16"/>
                </w:rPr>
                <w:t xml:space="preserve">Version No:                                      </w:t>
              </w:r>
              <w:r>
                <w:rPr>
                  <w:rFonts w:asciiTheme="majorHAnsi" w:hAnsiTheme="majorHAnsi"/>
                  <w:sz w:val="16"/>
                  <w:szCs w:val="16"/>
                </w:rPr>
                <w:t xml:space="preserve">                           </w:t>
              </w:r>
              <w:r w:rsidRPr="00063F2F">
                <w:rPr>
                  <w:rFonts w:asciiTheme="majorHAnsi" w:hAnsiTheme="majorHAnsi"/>
                  <w:sz w:val="16"/>
                  <w:szCs w:val="16"/>
                </w:rPr>
                <w:t xml:space="preserve">    </w:t>
              </w:r>
              <w:r>
                <w:rPr>
                  <w:rFonts w:asciiTheme="majorHAnsi" w:hAnsiTheme="majorHAnsi"/>
                  <w:sz w:val="16"/>
                  <w:szCs w:val="16"/>
                </w:rPr>
                <w:t xml:space="preserve"> v1/2020</w:t>
              </w:r>
            </w:p>
          </w:tc>
        </w:tr>
        <w:tr w:rsidR="00006DC1" w:rsidRPr="00063F2F" w14:paraId="61596C1E" w14:textId="77777777" w:rsidTr="0026094C">
          <w:trPr>
            <w:trHeight w:val="416"/>
          </w:trPr>
          <w:tc>
            <w:tcPr>
              <w:tcW w:w="5238" w:type="dxa"/>
            </w:tcPr>
            <w:p w14:paraId="31C957F1" w14:textId="77777777" w:rsidR="00006DC1" w:rsidRPr="00063F2F" w:rsidRDefault="00006DC1" w:rsidP="00006DC1">
              <w:pPr>
                <w:rPr>
                  <w:rFonts w:asciiTheme="majorHAnsi" w:hAnsiTheme="majorHAnsi"/>
                  <w:sz w:val="16"/>
                  <w:szCs w:val="16"/>
                </w:rPr>
              </w:pPr>
              <w:r w:rsidRPr="00063F2F">
                <w:rPr>
                  <w:rFonts w:asciiTheme="majorHAnsi" w:hAnsiTheme="majorHAnsi"/>
                  <w:sz w:val="16"/>
                  <w:szCs w:val="16"/>
                </w:rPr>
                <w:t>Previous ve</w:t>
              </w:r>
              <w:r>
                <w:rPr>
                  <w:rFonts w:asciiTheme="majorHAnsi" w:hAnsiTheme="majorHAnsi"/>
                  <w:sz w:val="16"/>
                  <w:szCs w:val="16"/>
                </w:rPr>
                <w:t>rsions:                                                                PL/025</w:t>
              </w:r>
            </w:p>
          </w:tc>
          <w:tc>
            <w:tcPr>
              <w:tcW w:w="5238" w:type="dxa"/>
            </w:tcPr>
            <w:p w14:paraId="143F7432" w14:textId="1FCB0BD4" w:rsidR="00006DC1" w:rsidRPr="0036070A" w:rsidRDefault="00006DC1" w:rsidP="00006DC1">
              <w:pPr>
                <w:jc w:val="both"/>
                <w:rPr>
                  <w:rFonts w:asciiTheme="majorHAnsi" w:hAnsiTheme="majorHAnsi"/>
                  <w:sz w:val="16"/>
                  <w:szCs w:val="16"/>
                </w:rPr>
              </w:pPr>
              <w:r w:rsidRPr="0036070A">
                <w:rPr>
                  <w:rFonts w:asciiTheme="majorHAnsi" w:hAnsiTheme="majorHAnsi"/>
                  <w:sz w:val="16"/>
                  <w:szCs w:val="16"/>
                </w:rPr>
                <w:t xml:space="preserve">Effective Date:                                                          </w:t>
              </w:r>
              <w:r>
                <w:rPr>
                  <w:rFonts w:asciiTheme="majorHAnsi" w:hAnsiTheme="majorHAnsi"/>
                  <w:sz w:val="16"/>
                  <w:szCs w:val="16"/>
                </w:rPr>
                <w:t>11/05</w:t>
              </w:r>
              <w:r w:rsidRPr="0036070A">
                <w:rPr>
                  <w:rFonts w:asciiTheme="majorHAnsi" w:hAnsiTheme="majorHAnsi"/>
                  <w:sz w:val="16"/>
                  <w:szCs w:val="16"/>
                </w:rPr>
                <w:t>/2020</w:t>
              </w:r>
            </w:p>
          </w:tc>
        </w:tr>
        <w:tr w:rsidR="00006DC1" w:rsidRPr="00063F2F" w14:paraId="2B6E04A3" w14:textId="77777777" w:rsidTr="0026094C">
          <w:trPr>
            <w:trHeight w:val="426"/>
          </w:trPr>
          <w:tc>
            <w:tcPr>
              <w:tcW w:w="5238" w:type="dxa"/>
            </w:tcPr>
            <w:p w14:paraId="3E959F74" w14:textId="77777777" w:rsidR="00006DC1" w:rsidRPr="00660737" w:rsidRDefault="00006DC1" w:rsidP="00006DC1">
              <w:pPr>
                <w:jc w:val="both"/>
                <w:rPr>
                  <w:sz w:val="16"/>
                  <w:szCs w:val="16"/>
                </w:rPr>
              </w:pPr>
              <w:r>
                <w:rPr>
                  <w:rFonts w:asciiTheme="majorHAnsi" w:hAnsiTheme="majorHAnsi"/>
                  <w:sz w:val="16"/>
                  <w:szCs w:val="16"/>
                </w:rPr>
                <w:t>Board App/</w:t>
              </w:r>
              <w:r w:rsidRPr="00660737">
                <w:rPr>
                  <w:rFonts w:asciiTheme="majorHAnsi" w:hAnsiTheme="majorHAnsi"/>
                  <w:sz w:val="16"/>
                  <w:szCs w:val="16"/>
                </w:rPr>
                <w:t xml:space="preserve">Noting                          </w:t>
              </w:r>
              <w:r>
                <w:rPr>
                  <w:rFonts w:asciiTheme="majorHAnsi" w:hAnsiTheme="majorHAnsi"/>
                  <w:sz w:val="16"/>
                  <w:szCs w:val="16"/>
                </w:rPr>
                <w:t xml:space="preserve">                               18/05</w:t>
              </w:r>
              <w:r w:rsidRPr="00660737">
                <w:rPr>
                  <w:rFonts w:asciiTheme="majorHAnsi" w:hAnsiTheme="majorHAnsi"/>
                  <w:sz w:val="16"/>
                  <w:szCs w:val="16"/>
                </w:rPr>
                <w:t>/2020</w:t>
              </w:r>
            </w:p>
          </w:tc>
          <w:tc>
            <w:tcPr>
              <w:tcW w:w="5238" w:type="dxa"/>
            </w:tcPr>
            <w:p w14:paraId="0D12F5D8" w14:textId="62F998E5" w:rsidR="00006DC1" w:rsidRPr="00660737" w:rsidRDefault="00006DC1" w:rsidP="00006DC1">
              <w:pPr>
                <w:jc w:val="both"/>
                <w:rPr>
                  <w:rFonts w:asciiTheme="majorHAnsi" w:hAnsiTheme="majorHAnsi"/>
                  <w:sz w:val="16"/>
                  <w:szCs w:val="16"/>
                </w:rPr>
              </w:pPr>
              <w:r w:rsidRPr="00660737">
                <w:rPr>
                  <w:rFonts w:asciiTheme="majorHAnsi" w:hAnsiTheme="majorHAnsi"/>
                  <w:sz w:val="16"/>
                  <w:szCs w:val="16"/>
                </w:rPr>
                <w:t xml:space="preserve">Review Date:                                                             </w:t>
              </w:r>
              <w:r>
                <w:rPr>
                  <w:rFonts w:asciiTheme="majorHAnsi" w:hAnsiTheme="majorHAnsi"/>
                  <w:sz w:val="16"/>
                  <w:szCs w:val="16"/>
                </w:rPr>
                <w:t>11/05/2021</w:t>
              </w:r>
            </w:p>
          </w:tc>
        </w:tr>
      </w:tbl>
      <w:p w14:paraId="793B14C9" w14:textId="17431B77" w:rsidR="000E5FD7" w:rsidRDefault="00CB3747" w:rsidP="00006DC1">
        <w:pPr>
          <w:pStyle w:val="Footer"/>
        </w:pPr>
      </w:p>
    </w:sdtContent>
  </w:sdt>
  <w:p w14:paraId="6A994ED7" w14:textId="77777777" w:rsidR="000E5FD7" w:rsidRDefault="000E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15AB" w14:textId="77777777" w:rsidR="00CB3747" w:rsidRDefault="00CB3747" w:rsidP="000E5FD7">
      <w:pPr>
        <w:spacing w:after="0" w:line="240" w:lineRule="auto"/>
      </w:pPr>
      <w:r>
        <w:separator/>
      </w:r>
    </w:p>
  </w:footnote>
  <w:footnote w:type="continuationSeparator" w:id="0">
    <w:p w14:paraId="54084674" w14:textId="77777777" w:rsidR="00CB3747" w:rsidRDefault="00CB3747" w:rsidP="000E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26D7" w14:textId="1EAA6F29" w:rsidR="00063DC6" w:rsidRDefault="00063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1DCA" w14:textId="77777777" w:rsidR="000E5FD7" w:rsidRPr="00663E75" w:rsidRDefault="000E5FD7">
    <w:pPr>
      <w:pStyle w:val="Head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2B"/>
    <w:multiLevelType w:val="multilevel"/>
    <w:tmpl w:val="0C2073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45611FB"/>
    <w:multiLevelType w:val="hybridMultilevel"/>
    <w:tmpl w:val="F3468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6F14"/>
    <w:multiLevelType w:val="hybridMultilevel"/>
    <w:tmpl w:val="0EF40D18"/>
    <w:lvl w:ilvl="0" w:tplc="1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8E206F0"/>
    <w:multiLevelType w:val="hybridMultilevel"/>
    <w:tmpl w:val="C2ACB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0555"/>
    <w:multiLevelType w:val="multilevel"/>
    <w:tmpl w:val="93780D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E03854"/>
    <w:multiLevelType w:val="multilevel"/>
    <w:tmpl w:val="61429A6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135438"/>
    <w:multiLevelType w:val="multilevel"/>
    <w:tmpl w:val="CCB021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8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43F59BC"/>
    <w:multiLevelType w:val="multilevel"/>
    <w:tmpl w:val="A43053A4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CC4C64"/>
    <w:multiLevelType w:val="multilevel"/>
    <w:tmpl w:val="CCB021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8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A142004"/>
    <w:multiLevelType w:val="hybridMultilevel"/>
    <w:tmpl w:val="DA2E9522"/>
    <w:lvl w:ilvl="0" w:tplc="C89A6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73C06"/>
    <w:multiLevelType w:val="hybridMultilevel"/>
    <w:tmpl w:val="D3E244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A4D20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30800"/>
    <w:multiLevelType w:val="multilevel"/>
    <w:tmpl w:val="01C8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890854"/>
    <w:multiLevelType w:val="multilevel"/>
    <w:tmpl w:val="80A6D69A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64602"/>
    <w:multiLevelType w:val="hybridMultilevel"/>
    <w:tmpl w:val="8BF257F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605603"/>
    <w:multiLevelType w:val="hybridMultilevel"/>
    <w:tmpl w:val="494EAE46"/>
    <w:lvl w:ilvl="0" w:tplc="1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AA23EEA"/>
    <w:multiLevelType w:val="multilevel"/>
    <w:tmpl w:val="C2E8BF04"/>
    <w:lvl w:ilvl="0">
      <w:start w:val="5"/>
      <w:numFmt w:val="decimal"/>
      <w:lvlText w:val="%1"/>
      <w:lvlJc w:val="left"/>
      <w:pPr>
        <w:ind w:left="142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6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62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2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22" w:hanging="1440"/>
      </w:pPr>
      <w:rPr>
        <w:rFonts w:hint="default"/>
        <w:color w:val="auto"/>
      </w:rPr>
    </w:lvl>
  </w:abstractNum>
  <w:abstractNum w:abstractNumId="16" w15:restartNumberingAfterBreak="0">
    <w:nsid w:val="2B837432"/>
    <w:multiLevelType w:val="hybridMultilevel"/>
    <w:tmpl w:val="C51678E0"/>
    <w:lvl w:ilvl="0" w:tplc="1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F994350"/>
    <w:multiLevelType w:val="hybridMultilevel"/>
    <w:tmpl w:val="9D9A8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65362"/>
    <w:multiLevelType w:val="hybridMultilevel"/>
    <w:tmpl w:val="27902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01E40"/>
    <w:multiLevelType w:val="multilevel"/>
    <w:tmpl w:val="5786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185940"/>
    <w:multiLevelType w:val="multilevel"/>
    <w:tmpl w:val="507C36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A3DE7"/>
    <w:multiLevelType w:val="hybridMultilevel"/>
    <w:tmpl w:val="A0BE29E6"/>
    <w:lvl w:ilvl="0" w:tplc="1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C2AF9"/>
    <w:multiLevelType w:val="hybridMultilevel"/>
    <w:tmpl w:val="E4CAD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E2F06"/>
    <w:multiLevelType w:val="multilevel"/>
    <w:tmpl w:val="64A22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CF7131B"/>
    <w:multiLevelType w:val="hybridMultilevel"/>
    <w:tmpl w:val="6F0238C0"/>
    <w:lvl w:ilvl="0" w:tplc="2760F4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0529D"/>
    <w:multiLevelType w:val="multilevel"/>
    <w:tmpl w:val="2C8EB4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CB66B7"/>
    <w:multiLevelType w:val="hybridMultilevel"/>
    <w:tmpl w:val="B054F5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B76B1"/>
    <w:multiLevelType w:val="multilevel"/>
    <w:tmpl w:val="01C8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0518BF"/>
    <w:multiLevelType w:val="hybridMultilevel"/>
    <w:tmpl w:val="71B466CA"/>
    <w:lvl w:ilvl="0" w:tplc="1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D97664D"/>
    <w:multiLevelType w:val="hybridMultilevel"/>
    <w:tmpl w:val="D7B27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165DF"/>
    <w:multiLevelType w:val="multilevel"/>
    <w:tmpl w:val="BB92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085296"/>
    <w:multiLevelType w:val="multilevel"/>
    <w:tmpl w:val="1B56F0BA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9215EE"/>
    <w:multiLevelType w:val="hybridMultilevel"/>
    <w:tmpl w:val="FEBC0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159F5"/>
    <w:multiLevelType w:val="multilevel"/>
    <w:tmpl w:val="C1A6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C27521"/>
    <w:multiLevelType w:val="hybridMultilevel"/>
    <w:tmpl w:val="F3DCF0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B62DE"/>
    <w:multiLevelType w:val="multilevel"/>
    <w:tmpl w:val="C26637D8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95" w:hanging="375"/>
      </w:pPr>
      <w:rPr>
        <w:rFonts w:hint="default"/>
      </w:rPr>
    </w:lvl>
    <w:lvl w:ilvl="2">
      <w:start w:val="9"/>
      <w:numFmt w:val="decimal"/>
      <w:lvlText w:val="8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5B1E6305"/>
    <w:multiLevelType w:val="multilevel"/>
    <w:tmpl w:val="07024FA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5D793E7D"/>
    <w:multiLevelType w:val="hybridMultilevel"/>
    <w:tmpl w:val="EFA07D12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7A4A12"/>
    <w:multiLevelType w:val="hybridMultilevel"/>
    <w:tmpl w:val="2FF41088"/>
    <w:lvl w:ilvl="0" w:tplc="1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0C002A6"/>
    <w:multiLevelType w:val="hybridMultilevel"/>
    <w:tmpl w:val="6D4C98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F1BA6"/>
    <w:multiLevelType w:val="multilevel"/>
    <w:tmpl w:val="CE96D77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1111D6"/>
    <w:multiLevelType w:val="hybridMultilevel"/>
    <w:tmpl w:val="F2C29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72892"/>
    <w:multiLevelType w:val="hybridMultilevel"/>
    <w:tmpl w:val="2A543F88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009658F"/>
    <w:multiLevelType w:val="hybridMultilevel"/>
    <w:tmpl w:val="ECE806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23D88"/>
    <w:multiLevelType w:val="multilevel"/>
    <w:tmpl w:val="9862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935375"/>
    <w:multiLevelType w:val="hybridMultilevel"/>
    <w:tmpl w:val="55D8B5E2"/>
    <w:lvl w:ilvl="0" w:tplc="1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99B1108"/>
    <w:multiLevelType w:val="hybridMultilevel"/>
    <w:tmpl w:val="AA9827EA"/>
    <w:lvl w:ilvl="0" w:tplc="1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C5C30B0"/>
    <w:multiLevelType w:val="multilevel"/>
    <w:tmpl w:val="46B4E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8" w15:restartNumberingAfterBreak="0">
    <w:nsid w:val="7D283FD2"/>
    <w:multiLevelType w:val="hybridMultilevel"/>
    <w:tmpl w:val="0CAEF348"/>
    <w:lvl w:ilvl="0" w:tplc="1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9"/>
  </w:num>
  <w:num w:numId="4">
    <w:abstractNumId w:val="44"/>
  </w:num>
  <w:num w:numId="5">
    <w:abstractNumId w:val="31"/>
  </w:num>
  <w:num w:numId="6">
    <w:abstractNumId w:val="33"/>
  </w:num>
  <w:num w:numId="7">
    <w:abstractNumId w:val="25"/>
  </w:num>
  <w:num w:numId="8">
    <w:abstractNumId w:val="40"/>
  </w:num>
  <w:num w:numId="9">
    <w:abstractNumId w:val="20"/>
  </w:num>
  <w:num w:numId="10">
    <w:abstractNumId w:val="39"/>
  </w:num>
  <w:num w:numId="11">
    <w:abstractNumId w:val="43"/>
  </w:num>
  <w:num w:numId="12">
    <w:abstractNumId w:val="29"/>
  </w:num>
  <w:num w:numId="13">
    <w:abstractNumId w:val="22"/>
  </w:num>
  <w:num w:numId="14">
    <w:abstractNumId w:val="22"/>
  </w:num>
  <w:num w:numId="15">
    <w:abstractNumId w:val="18"/>
  </w:num>
  <w:num w:numId="16">
    <w:abstractNumId w:val="1"/>
  </w:num>
  <w:num w:numId="17">
    <w:abstractNumId w:val="36"/>
  </w:num>
  <w:num w:numId="18">
    <w:abstractNumId w:val="27"/>
  </w:num>
  <w:num w:numId="19">
    <w:abstractNumId w:val="21"/>
  </w:num>
  <w:num w:numId="20">
    <w:abstractNumId w:val="47"/>
  </w:num>
  <w:num w:numId="21">
    <w:abstractNumId w:val="11"/>
  </w:num>
  <w:num w:numId="22">
    <w:abstractNumId w:val="5"/>
  </w:num>
  <w:num w:numId="23">
    <w:abstractNumId w:val="6"/>
  </w:num>
  <w:num w:numId="24">
    <w:abstractNumId w:val="8"/>
  </w:num>
  <w:num w:numId="25">
    <w:abstractNumId w:val="0"/>
  </w:num>
  <w:num w:numId="26">
    <w:abstractNumId w:val="34"/>
  </w:num>
  <w:num w:numId="27">
    <w:abstractNumId w:val="35"/>
  </w:num>
  <w:num w:numId="28">
    <w:abstractNumId w:val="48"/>
  </w:num>
  <w:num w:numId="29">
    <w:abstractNumId w:val="38"/>
  </w:num>
  <w:num w:numId="30">
    <w:abstractNumId w:val="45"/>
  </w:num>
  <w:num w:numId="31">
    <w:abstractNumId w:val="42"/>
  </w:num>
  <w:num w:numId="32">
    <w:abstractNumId w:val="16"/>
  </w:num>
  <w:num w:numId="33">
    <w:abstractNumId w:val="2"/>
  </w:num>
  <w:num w:numId="34">
    <w:abstractNumId w:val="14"/>
  </w:num>
  <w:num w:numId="35">
    <w:abstractNumId w:val="46"/>
  </w:num>
  <w:num w:numId="36">
    <w:abstractNumId w:val="28"/>
  </w:num>
  <w:num w:numId="37">
    <w:abstractNumId w:val="24"/>
  </w:num>
  <w:num w:numId="38">
    <w:abstractNumId w:val="17"/>
  </w:num>
  <w:num w:numId="39">
    <w:abstractNumId w:val="3"/>
  </w:num>
  <w:num w:numId="40">
    <w:abstractNumId w:val="32"/>
  </w:num>
  <w:num w:numId="41">
    <w:abstractNumId w:val="41"/>
  </w:num>
  <w:num w:numId="42">
    <w:abstractNumId w:val="26"/>
  </w:num>
  <w:num w:numId="43">
    <w:abstractNumId w:val="4"/>
  </w:num>
  <w:num w:numId="44">
    <w:abstractNumId w:val="15"/>
  </w:num>
  <w:num w:numId="45">
    <w:abstractNumId w:val="7"/>
  </w:num>
  <w:num w:numId="46">
    <w:abstractNumId w:val="23"/>
  </w:num>
  <w:num w:numId="47">
    <w:abstractNumId w:val="10"/>
  </w:num>
  <w:num w:numId="48">
    <w:abstractNumId w:val="9"/>
  </w:num>
  <w:num w:numId="49">
    <w:abstractNumId w:val="1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0D"/>
    <w:rsid w:val="00006DC1"/>
    <w:rsid w:val="00045B51"/>
    <w:rsid w:val="00047D42"/>
    <w:rsid w:val="000635F0"/>
    <w:rsid w:val="00063DC6"/>
    <w:rsid w:val="00065E91"/>
    <w:rsid w:val="000C4C4C"/>
    <w:rsid w:val="000C7004"/>
    <w:rsid w:val="000E5FD7"/>
    <w:rsid w:val="000F7D8B"/>
    <w:rsid w:val="00112563"/>
    <w:rsid w:val="00127F38"/>
    <w:rsid w:val="001669BE"/>
    <w:rsid w:val="001718A7"/>
    <w:rsid w:val="00184222"/>
    <w:rsid w:val="001D3DE5"/>
    <w:rsid w:val="001E0175"/>
    <w:rsid w:val="00245E9A"/>
    <w:rsid w:val="002527E1"/>
    <w:rsid w:val="00262BA8"/>
    <w:rsid w:val="00271785"/>
    <w:rsid w:val="00293101"/>
    <w:rsid w:val="002937FE"/>
    <w:rsid w:val="002B370F"/>
    <w:rsid w:val="00300C63"/>
    <w:rsid w:val="0037425F"/>
    <w:rsid w:val="003A2A60"/>
    <w:rsid w:val="003B10EE"/>
    <w:rsid w:val="003D5B05"/>
    <w:rsid w:val="003E4373"/>
    <w:rsid w:val="00405007"/>
    <w:rsid w:val="004208DB"/>
    <w:rsid w:val="00483E63"/>
    <w:rsid w:val="00493F47"/>
    <w:rsid w:val="004945CF"/>
    <w:rsid w:val="004D6F94"/>
    <w:rsid w:val="004E1A23"/>
    <w:rsid w:val="00502416"/>
    <w:rsid w:val="00504A3E"/>
    <w:rsid w:val="00536D5A"/>
    <w:rsid w:val="0054283D"/>
    <w:rsid w:val="0056392D"/>
    <w:rsid w:val="00577B8C"/>
    <w:rsid w:val="0059394E"/>
    <w:rsid w:val="005B5898"/>
    <w:rsid w:val="005C48AD"/>
    <w:rsid w:val="005D21DD"/>
    <w:rsid w:val="005E5C17"/>
    <w:rsid w:val="00647DF4"/>
    <w:rsid w:val="00650785"/>
    <w:rsid w:val="00650BA6"/>
    <w:rsid w:val="006623A0"/>
    <w:rsid w:val="00663D2F"/>
    <w:rsid w:val="00663E75"/>
    <w:rsid w:val="0068163B"/>
    <w:rsid w:val="006830E7"/>
    <w:rsid w:val="00686C14"/>
    <w:rsid w:val="006B4D4A"/>
    <w:rsid w:val="006C264E"/>
    <w:rsid w:val="006E27C0"/>
    <w:rsid w:val="007144AB"/>
    <w:rsid w:val="007423FB"/>
    <w:rsid w:val="007479E6"/>
    <w:rsid w:val="00754A43"/>
    <w:rsid w:val="0075788F"/>
    <w:rsid w:val="007947BF"/>
    <w:rsid w:val="00797219"/>
    <w:rsid w:val="007A0061"/>
    <w:rsid w:val="007A6AC7"/>
    <w:rsid w:val="007C32B4"/>
    <w:rsid w:val="007C544B"/>
    <w:rsid w:val="007D2F33"/>
    <w:rsid w:val="008001A8"/>
    <w:rsid w:val="008226EC"/>
    <w:rsid w:val="008402E4"/>
    <w:rsid w:val="00840D99"/>
    <w:rsid w:val="008505F4"/>
    <w:rsid w:val="00863119"/>
    <w:rsid w:val="00864D77"/>
    <w:rsid w:val="008672D1"/>
    <w:rsid w:val="00871CA6"/>
    <w:rsid w:val="008A5037"/>
    <w:rsid w:val="008B3805"/>
    <w:rsid w:val="008B7024"/>
    <w:rsid w:val="008B7897"/>
    <w:rsid w:val="008C4BC6"/>
    <w:rsid w:val="008F2732"/>
    <w:rsid w:val="008F4F96"/>
    <w:rsid w:val="00904DE1"/>
    <w:rsid w:val="00905A67"/>
    <w:rsid w:val="0090692B"/>
    <w:rsid w:val="009178D2"/>
    <w:rsid w:val="0093198C"/>
    <w:rsid w:val="009B5D15"/>
    <w:rsid w:val="009B7744"/>
    <w:rsid w:val="009F00AA"/>
    <w:rsid w:val="009F410D"/>
    <w:rsid w:val="00A1587E"/>
    <w:rsid w:val="00A274BB"/>
    <w:rsid w:val="00A36AD9"/>
    <w:rsid w:val="00A75F71"/>
    <w:rsid w:val="00A81EBB"/>
    <w:rsid w:val="00A95B96"/>
    <w:rsid w:val="00AD0E92"/>
    <w:rsid w:val="00B22494"/>
    <w:rsid w:val="00B6312B"/>
    <w:rsid w:val="00B82428"/>
    <w:rsid w:val="00B82F03"/>
    <w:rsid w:val="00B943AC"/>
    <w:rsid w:val="00BA4DAA"/>
    <w:rsid w:val="00BC7ACB"/>
    <w:rsid w:val="00BF3F3E"/>
    <w:rsid w:val="00C27DC4"/>
    <w:rsid w:val="00C302CF"/>
    <w:rsid w:val="00C552D5"/>
    <w:rsid w:val="00CA51A1"/>
    <w:rsid w:val="00CB3747"/>
    <w:rsid w:val="00CC4C1B"/>
    <w:rsid w:val="00CC71D4"/>
    <w:rsid w:val="00CE044C"/>
    <w:rsid w:val="00D06800"/>
    <w:rsid w:val="00D21785"/>
    <w:rsid w:val="00D4003E"/>
    <w:rsid w:val="00D40B0C"/>
    <w:rsid w:val="00DA1B57"/>
    <w:rsid w:val="00DA33F6"/>
    <w:rsid w:val="00DC40A4"/>
    <w:rsid w:val="00E1408E"/>
    <w:rsid w:val="00E146B8"/>
    <w:rsid w:val="00E57D83"/>
    <w:rsid w:val="00E743EA"/>
    <w:rsid w:val="00E91D45"/>
    <w:rsid w:val="00E93E0F"/>
    <w:rsid w:val="00EB3788"/>
    <w:rsid w:val="00EF616A"/>
    <w:rsid w:val="00F21A37"/>
    <w:rsid w:val="00F22DBF"/>
    <w:rsid w:val="00F37DCE"/>
    <w:rsid w:val="00F45766"/>
    <w:rsid w:val="00F77FCE"/>
    <w:rsid w:val="00FA1CA5"/>
    <w:rsid w:val="00FE779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26D98"/>
  <w15:docId w15:val="{00794E28-A837-4337-A89D-58463E3D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CF"/>
  </w:style>
  <w:style w:type="paragraph" w:styleId="Heading1">
    <w:name w:val="heading 1"/>
    <w:basedOn w:val="Normal"/>
    <w:link w:val="Heading1Char"/>
    <w:uiPriority w:val="9"/>
    <w:qFormat/>
    <w:rsid w:val="009F4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9F4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9F4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8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10D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F410D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9F410D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9F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F410D"/>
    <w:rPr>
      <w:b/>
      <w:bCs/>
    </w:rPr>
  </w:style>
  <w:style w:type="character" w:styleId="Hyperlink">
    <w:name w:val="Hyperlink"/>
    <w:basedOn w:val="DefaultParagraphFont"/>
    <w:uiPriority w:val="99"/>
    <w:unhideWhenUsed/>
    <w:rsid w:val="009F41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F410D"/>
    <w:rPr>
      <w:i/>
      <w:iCs/>
    </w:rPr>
  </w:style>
  <w:style w:type="character" w:customStyle="1" w:styleId="apple-converted-space">
    <w:name w:val="apple-converted-space"/>
    <w:basedOn w:val="DefaultParagraphFont"/>
    <w:rsid w:val="009F410D"/>
  </w:style>
  <w:style w:type="character" w:customStyle="1" w:styleId="Date1">
    <w:name w:val="Date1"/>
    <w:basedOn w:val="DefaultParagraphFont"/>
    <w:rsid w:val="009F410D"/>
  </w:style>
  <w:style w:type="paragraph" w:styleId="ListParagraph">
    <w:name w:val="List Paragraph"/>
    <w:basedOn w:val="Normal"/>
    <w:uiPriority w:val="34"/>
    <w:qFormat/>
    <w:rsid w:val="00C27DC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C48A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0E5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D7"/>
  </w:style>
  <w:style w:type="paragraph" w:styleId="Footer">
    <w:name w:val="footer"/>
    <w:basedOn w:val="Normal"/>
    <w:link w:val="FooterChar"/>
    <w:uiPriority w:val="99"/>
    <w:unhideWhenUsed/>
    <w:rsid w:val="000E5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D7"/>
  </w:style>
  <w:style w:type="paragraph" w:styleId="BalloonText">
    <w:name w:val="Balloon Text"/>
    <w:basedOn w:val="Normal"/>
    <w:link w:val="BalloonTextChar"/>
    <w:uiPriority w:val="99"/>
    <w:semiHidden/>
    <w:unhideWhenUsed/>
    <w:rsid w:val="0066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51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2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5117">
          <w:marLeft w:val="0"/>
          <w:marRight w:val="0"/>
          <w:marTop w:val="0"/>
          <w:marBottom w:val="0"/>
          <w:divBdr>
            <w:top w:val="single" w:sz="2" w:space="0" w:color="990000"/>
            <w:left w:val="single" w:sz="2" w:space="0" w:color="990000"/>
            <w:bottom w:val="single" w:sz="2" w:space="0" w:color="990000"/>
            <w:right w:val="single" w:sz="2" w:space="0" w:color="990000"/>
          </w:divBdr>
        </w:div>
      </w:divsChild>
    </w:div>
    <w:div w:id="216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datamanagement.techtarget.com/definition/compli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AD07-342C-40FA-9726-178429EA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Kilkenny VEC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Thea Jordan (PAO)</cp:lastModifiedBy>
  <cp:revision>2</cp:revision>
  <cp:lastPrinted>2017-02-21T08:29:00Z</cp:lastPrinted>
  <dcterms:created xsi:type="dcterms:W3CDTF">2020-06-11T08:46:00Z</dcterms:created>
  <dcterms:modified xsi:type="dcterms:W3CDTF">2020-06-11T08:46:00Z</dcterms:modified>
</cp:coreProperties>
</file>