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DF" w:rsidRDefault="00A237DF" w:rsidP="00A237DF">
      <w:pPr>
        <w:ind w:left="360" w:right="0" w:firstLine="0"/>
        <w:jc w:val="center"/>
        <w:rPr>
          <w:b w:val="0"/>
        </w:rPr>
      </w:pPr>
    </w:p>
    <w:p w:rsidR="005E1DDF" w:rsidRPr="00A4042F" w:rsidRDefault="005E1DDF" w:rsidP="00A237DF">
      <w:pPr>
        <w:ind w:left="360" w:right="0" w:firstLine="0"/>
        <w:jc w:val="center"/>
        <w:rPr>
          <w:b w:val="0"/>
        </w:rPr>
      </w:pPr>
    </w:p>
    <w:p w:rsidR="000451CC" w:rsidRPr="00A4042F" w:rsidRDefault="00CE6777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An appeal may be made to </w:t>
      </w:r>
      <w:r w:rsidR="00FF0FCC">
        <w:rPr>
          <w:b w:val="0"/>
        </w:rPr>
        <w:t>Du</w:t>
      </w:r>
      <w:r w:rsidR="005E1DDF">
        <w:rPr>
          <w:b w:val="0"/>
        </w:rPr>
        <w:t>blin and Dú</w:t>
      </w:r>
      <w:r w:rsidR="00FF0FCC">
        <w:rPr>
          <w:b w:val="0"/>
        </w:rPr>
        <w:t>n Laoghaire</w:t>
      </w:r>
      <w:r w:rsidR="005E1DDF">
        <w:rPr>
          <w:b w:val="0"/>
        </w:rPr>
        <w:t xml:space="preserve"> Education and Training Board (</w:t>
      </w:r>
      <w:r w:rsidR="00FF0FCC">
        <w:rPr>
          <w:b w:val="0"/>
        </w:rPr>
        <w:t xml:space="preserve">DDLETB) </w:t>
      </w:r>
      <w:r w:rsidR="009151BF" w:rsidRPr="00A4042F">
        <w:rPr>
          <w:b w:val="0"/>
        </w:rPr>
        <w:t xml:space="preserve">in respect of a decision by </w:t>
      </w:r>
      <w:r w:rsidR="00FF0FCC">
        <w:rPr>
          <w:b w:val="0"/>
        </w:rPr>
        <w:t>the</w:t>
      </w:r>
      <w:r w:rsidR="009151BF" w:rsidRPr="00A4042F">
        <w:rPr>
          <w:b w:val="0"/>
        </w:rPr>
        <w:t xml:space="preserve"> </w:t>
      </w:r>
      <w:r w:rsidR="00FF0FCC">
        <w:rPr>
          <w:b w:val="0"/>
        </w:rPr>
        <w:t>B</w:t>
      </w:r>
      <w:r w:rsidR="009151BF" w:rsidRPr="00A4042F">
        <w:rPr>
          <w:b w:val="0"/>
        </w:rPr>
        <w:t>oard</w:t>
      </w:r>
      <w:r w:rsidR="00FF0FCC">
        <w:rPr>
          <w:b w:val="0"/>
        </w:rPr>
        <w:t xml:space="preserve"> of Management </w:t>
      </w:r>
      <w:r w:rsidR="009151BF" w:rsidRPr="00A4042F">
        <w:rPr>
          <w:b w:val="0"/>
        </w:rPr>
        <w:t xml:space="preserve">of </w:t>
      </w:r>
      <w:r w:rsidR="00FF0FCC">
        <w:rPr>
          <w:b w:val="0"/>
        </w:rPr>
        <w:t>a DDLETB</w:t>
      </w:r>
      <w:r w:rsidRPr="00A4042F">
        <w:rPr>
          <w:b w:val="0"/>
        </w:rPr>
        <w:t xml:space="preserve"> school</w:t>
      </w:r>
      <w:r w:rsidR="009151BF" w:rsidRPr="00A4042F">
        <w:rPr>
          <w:b w:val="0"/>
        </w:rPr>
        <w:t>, a</w:t>
      </w:r>
      <w:r w:rsidR="005E1DDF">
        <w:rPr>
          <w:b w:val="0"/>
        </w:rPr>
        <w:t xml:space="preserve">s defined in the Education Act </w:t>
      </w:r>
      <w:r w:rsidR="009151BF" w:rsidRPr="00A4042F">
        <w:rPr>
          <w:b w:val="0"/>
        </w:rPr>
        <w:t xml:space="preserve">1998, or by a person acting on behalf of the board of management, to: </w:t>
      </w:r>
    </w:p>
    <w:p w:rsidR="000451CC" w:rsidRPr="00A4042F" w:rsidRDefault="000451CC" w:rsidP="00A237DF">
      <w:pPr>
        <w:ind w:left="360" w:right="0" w:firstLine="0"/>
        <w:jc w:val="left"/>
        <w:rPr>
          <w:b w:val="0"/>
        </w:rPr>
      </w:pPr>
    </w:p>
    <w:p w:rsidR="000451CC" w:rsidRPr="00A4042F" w:rsidRDefault="009151BF" w:rsidP="00A4042F">
      <w:pPr>
        <w:pStyle w:val="ListParagraph"/>
        <w:numPr>
          <w:ilvl w:val="1"/>
          <w:numId w:val="23"/>
        </w:numPr>
        <w:ind w:right="0"/>
        <w:jc w:val="left"/>
        <w:rPr>
          <w:b w:val="0"/>
        </w:rPr>
      </w:pPr>
      <w:r w:rsidRPr="00A4042F">
        <w:rPr>
          <w:b w:val="0"/>
        </w:rPr>
        <w:t>permanently ex</w:t>
      </w:r>
      <w:r w:rsidR="00CE6777" w:rsidRPr="00A4042F">
        <w:rPr>
          <w:b w:val="0"/>
        </w:rPr>
        <w:t>clude a pupil</w:t>
      </w:r>
    </w:p>
    <w:p w:rsidR="000451CC" w:rsidRPr="00A4042F" w:rsidRDefault="009151BF" w:rsidP="00A4042F">
      <w:pPr>
        <w:pStyle w:val="ListParagraph"/>
        <w:numPr>
          <w:ilvl w:val="1"/>
          <w:numId w:val="23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suspend a </w:t>
      </w:r>
      <w:r w:rsidR="00CE6777" w:rsidRPr="00A4042F">
        <w:rPr>
          <w:b w:val="0"/>
        </w:rPr>
        <w:t>pupil</w:t>
      </w:r>
      <w:r w:rsidRPr="00A4042F">
        <w:rPr>
          <w:b w:val="0"/>
        </w:rPr>
        <w:t xml:space="preserve"> </w:t>
      </w:r>
      <w:r w:rsidR="00CE6777" w:rsidRPr="00A4042F">
        <w:rPr>
          <w:b w:val="0"/>
        </w:rPr>
        <w:t>for</w:t>
      </w:r>
      <w:r w:rsidRPr="00A4042F">
        <w:rPr>
          <w:b w:val="0"/>
        </w:rPr>
        <w:t xml:space="preserve"> </w:t>
      </w:r>
      <w:r w:rsidR="00CE6777" w:rsidRPr="00A4042F">
        <w:rPr>
          <w:b w:val="0"/>
        </w:rPr>
        <w:t>a</w:t>
      </w:r>
      <w:r w:rsidRPr="00A4042F">
        <w:rPr>
          <w:b w:val="0"/>
        </w:rPr>
        <w:t xml:space="preserve"> school for a period which wo</w:t>
      </w:r>
      <w:r w:rsidR="000451CC" w:rsidRPr="00A4042F">
        <w:rPr>
          <w:b w:val="0"/>
        </w:rPr>
        <w:t>uld bring the cumulative period</w:t>
      </w:r>
      <w:r w:rsidR="00A4042F" w:rsidRPr="00A4042F">
        <w:rPr>
          <w:b w:val="0"/>
        </w:rPr>
        <w:t xml:space="preserve"> </w:t>
      </w:r>
      <w:r w:rsidRPr="00A4042F">
        <w:rPr>
          <w:b w:val="0"/>
        </w:rPr>
        <w:t xml:space="preserve">of suspension to 20 school days in any </w:t>
      </w:r>
      <w:r w:rsidR="005E1DDF">
        <w:rPr>
          <w:b w:val="0"/>
        </w:rPr>
        <w:t>one school year</w:t>
      </w:r>
    </w:p>
    <w:p w:rsidR="0006557C" w:rsidRPr="00A4042F" w:rsidRDefault="009151BF" w:rsidP="00A4042F">
      <w:pPr>
        <w:pStyle w:val="ListParagraph"/>
        <w:numPr>
          <w:ilvl w:val="1"/>
          <w:numId w:val="23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refuse to enrol a </w:t>
      </w:r>
      <w:r w:rsidR="00CE6777" w:rsidRPr="00A4042F">
        <w:rPr>
          <w:b w:val="0"/>
        </w:rPr>
        <w:t>child</w:t>
      </w:r>
    </w:p>
    <w:p w:rsidR="0006557C" w:rsidRPr="00A4042F" w:rsidRDefault="0006557C" w:rsidP="00A237DF">
      <w:pPr>
        <w:spacing w:after="0" w:line="259" w:lineRule="auto"/>
        <w:ind w:left="420" w:right="0" w:firstLine="0"/>
        <w:jc w:val="left"/>
        <w:rPr>
          <w:b w:val="0"/>
        </w:rPr>
      </w:pPr>
    </w:p>
    <w:p w:rsidR="0006557C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>An appeal may be made by the parent of the student concerned, or by the student, where he/she is aged 18 years or over</w:t>
      </w:r>
      <w:r w:rsidR="00CE6777" w:rsidRPr="00A4042F">
        <w:rPr>
          <w:b w:val="0"/>
        </w:rPr>
        <w:t>,</w:t>
      </w:r>
      <w:r w:rsidR="00FF0FCC">
        <w:rPr>
          <w:b w:val="0"/>
        </w:rPr>
        <w:t xml:space="preserve"> where this is established,</w:t>
      </w:r>
      <w:r w:rsidR="00CE6777" w:rsidRPr="00A4042F">
        <w:rPr>
          <w:b w:val="0"/>
        </w:rPr>
        <w:t xml:space="preserve"> or by the </w:t>
      </w:r>
      <w:r w:rsidR="00245B8F">
        <w:rPr>
          <w:b w:val="0"/>
        </w:rPr>
        <w:t>Education Welfare Officer</w:t>
      </w:r>
      <w:r w:rsidR="00CE6777" w:rsidRPr="00A4042F">
        <w:rPr>
          <w:b w:val="0"/>
        </w:rPr>
        <w:t xml:space="preserve"> where this is appropriate</w:t>
      </w:r>
      <w:r w:rsidR="00FF0FCC">
        <w:rPr>
          <w:b w:val="0"/>
        </w:rPr>
        <w:t>.</w:t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06557C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An appeal will generally not be admitted unless it is made within </w:t>
      </w:r>
      <w:r w:rsidR="00CE6777" w:rsidRPr="00A4042F">
        <w:rPr>
          <w:b w:val="0"/>
        </w:rPr>
        <w:t>fourteen</w:t>
      </w:r>
      <w:r w:rsidRPr="00A4042F">
        <w:rPr>
          <w:b w:val="0"/>
        </w:rPr>
        <w:t xml:space="preserve"> calendar days from the date the decision of the </w:t>
      </w:r>
      <w:r w:rsidR="00FF0FCC">
        <w:rPr>
          <w:b w:val="0"/>
        </w:rPr>
        <w:t>B</w:t>
      </w:r>
      <w:r w:rsidRPr="00A4042F">
        <w:rPr>
          <w:b w:val="0"/>
        </w:rPr>
        <w:t xml:space="preserve">oard was notified to the parent or student concerned. </w:t>
      </w:r>
      <w:r w:rsidR="00891C0A" w:rsidRPr="00A4042F">
        <w:rPr>
          <w:b w:val="0"/>
        </w:rPr>
        <w:t xml:space="preserve">The school Principal will notify the </w:t>
      </w:r>
      <w:r w:rsidR="000C608F" w:rsidRPr="00A4042F">
        <w:rPr>
          <w:b w:val="0"/>
        </w:rPr>
        <w:t>parent</w:t>
      </w:r>
      <w:r w:rsidR="00891C0A" w:rsidRPr="00A4042F">
        <w:rPr>
          <w:b w:val="0"/>
        </w:rPr>
        <w:t xml:space="preserve"> or student as appropriate, of their right of appeal to the ETB. </w:t>
      </w:r>
      <w:r w:rsidRPr="00A4042F">
        <w:rPr>
          <w:b w:val="0"/>
        </w:rPr>
        <w:t xml:space="preserve">However, a longer period for making appeals may be allowed as an exception where the Section 29 Appeals Administration Unit </w:t>
      </w:r>
      <w:r w:rsidR="00245B8F">
        <w:rPr>
          <w:b w:val="0"/>
        </w:rPr>
        <w:t xml:space="preserve">of DDLETB </w:t>
      </w:r>
      <w:r w:rsidRPr="00A4042F">
        <w:rPr>
          <w:b w:val="0"/>
        </w:rPr>
        <w:t>is satisfied that circumstances did not permit the making</w:t>
      </w:r>
      <w:r w:rsidR="00CE6777" w:rsidRPr="00A4042F">
        <w:rPr>
          <w:b w:val="0"/>
        </w:rPr>
        <w:t xml:space="preserve"> of an appeal within the above time </w:t>
      </w:r>
      <w:r w:rsidRPr="00A4042F">
        <w:rPr>
          <w:b w:val="0"/>
        </w:rPr>
        <w:t>limit.</w:t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CD2C0F" w:rsidRDefault="009151BF" w:rsidP="00A237DF">
      <w:pPr>
        <w:pStyle w:val="ListParagraph"/>
        <w:numPr>
          <w:ilvl w:val="0"/>
          <w:numId w:val="19"/>
        </w:numPr>
        <w:ind w:left="360" w:right="0" w:firstLine="0"/>
        <w:jc w:val="left"/>
        <w:rPr>
          <w:b w:val="0"/>
        </w:rPr>
      </w:pPr>
      <w:r w:rsidRPr="00245B8F">
        <w:rPr>
          <w:b w:val="0"/>
        </w:rPr>
        <w:t>Appeals should be made in writing on the Section 29 Appeals Application Form</w:t>
      </w:r>
      <w:r w:rsidR="007C67E5" w:rsidRPr="00245B8F">
        <w:rPr>
          <w:b w:val="0"/>
        </w:rPr>
        <w:t xml:space="preserve"> available </w:t>
      </w:r>
      <w:r w:rsidR="005E1DDF">
        <w:rPr>
          <w:b w:val="0"/>
        </w:rPr>
        <w:tab/>
      </w:r>
      <w:r w:rsidR="007C67E5" w:rsidRPr="00245B8F">
        <w:rPr>
          <w:b w:val="0"/>
        </w:rPr>
        <w:t>from the school or ETB offices</w:t>
      </w:r>
      <w:r w:rsidRPr="00245B8F">
        <w:rPr>
          <w:b w:val="0"/>
        </w:rPr>
        <w:t xml:space="preserve"> and </w:t>
      </w:r>
      <w:r w:rsidR="00CE6777" w:rsidRPr="00245B8F">
        <w:rPr>
          <w:b w:val="0"/>
        </w:rPr>
        <w:t xml:space="preserve">should be </w:t>
      </w:r>
      <w:r w:rsidR="007C67E5" w:rsidRPr="00245B8F">
        <w:rPr>
          <w:b w:val="0"/>
        </w:rPr>
        <w:t xml:space="preserve">submitted by signed letter </w:t>
      </w:r>
      <w:r w:rsidR="00CE6777" w:rsidRPr="00245B8F">
        <w:rPr>
          <w:b w:val="0"/>
        </w:rPr>
        <w:t>or email</w:t>
      </w:r>
      <w:r w:rsidR="007C67E5" w:rsidRPr="00245B8F">
        <w:rPr>
          <w:b w:val="0"/>
        </w:rPr>
        <w:t xml:space="preserve"> to </w:t>
      </w:r>
      <w:r w:rsidR="005E1DDF">
        <w:rPr>
          <w:b w:val="0"/>
        </w:rPr>
        <w:tab/>
      </w:r>
      <w:r w:rsidR="007C67E5" w:rsidRPr="00245B8F">
        <w:rPr>
          <w:b w:val="0"/>
        </w:rPr>
        <w:t>section29@ddletb.ie</w:t>
      </w:r>
      <w:r w:rsidR="00CE6777" w:rsidRPr="00245B8F">
        <w:rPr>
          <w:b w:val="0"/>
        </w:rPr>
        <w:t>. I</w:t>
      </w:r>
      <w:r w:rsidR="007C67E5" w:rsidRPr="00245B8F">
        <w:rPr>
          <w:b w:val="0"/>
        </w:rPr>
        <w:t xml:space="preserve">f the appeal is made by </w:t>
      </w:r>
      <w:r w:rsidR="00CE6777" w:rsidRPr="00245B8F">
        <w:rPr>
          <w:b w:val="0"/>
        </w:rPr>
        <w:t xml:space="preserve">email, it must also be </w:t>
      </w:r>
      <w:r w:rsidR="000B3643" w:rsidRPr="00245B8F">
        <w:rPr>
          <w:b w:val="0"/>
        </w:rPr>
        <w:t>confirmed in writing.</w:t>
      </w:r>
    </w:p>
    <w:p w:rsidR="00245B8F" w:rsidRPr="00245B8F" w:rsidRDefault="00245B8F" w:rsidP="00245B8F">
      <w:pPr>
        <w:pStyle w:val="ListParagraph"/>
        <w:rPr>
          <w:b w:val="0"/>
        </w:rPr>
      </w:pPr>
    </w:p>
    <w:p w:rsidR="00245B8F" w:rsidRPr="00245B8F" w:rsidRDefault="00245B8F" w:rsidP="00245B8F">
      <w:pPr>
        <w:pStyle w:val="ListParagraph"/>
        <w:ind w:left="360" w:right="0" w:firstLine="0"/>
        <w:jc w:val="left"/>
        <w:rPr>
          <w:b w:val="0"/>
        </w:rPr>
      </w:pPr>
    </w:p>
    <w:p w:rsidR="000451CC" w:rsidRPr="00A4042F" w:rsidRDefault="00CD2C0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>The Appeals application form should be complet</w:t>
      </w:r>
      <w:r w:rsidR="00245B8F">
        <w:rPr>
          <w:b w:val="0"/>
        </w:rPr>
        <w:t xml:space="preserve">ed in full </w:t>
      </w:r>
      <w:r w:rsidR="000451CC" w:rsidRPr="00A4042F">
        <w:rPr>
          <w:b w:val="0"/>
        </w:rPr>
        <w:t>and should specify:</w:t>
      </w:r>
    </w:p>
    <w:p w:rsidR="000451CC" w:rsidRPr="00A4042F" w:rsidRDefault="000451CC" w:rsidP="00A237DF">
      <w:pPr>
        <w:ind w:left="360" w:right="0" w:firstLine="0"/>
        <w:jc w:val="left"/>
        <w:rPr>
          <w:b w:val="0"/>
        </w:rPr>
      </w:pPr>
    </w:p>
    <w:p w:rsidR="000451CC" w:rsidRDefault="009151BF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>the appellant/student’s full name, address and, w</w:t>
      </w:r>
      <w:r w:rsidR="00A4042F" w:rsidRPr="00A4042F">
        <w:rPr>
          <w:b w:val="0"/>
        </w:rPr>
        <w:t xml:space="preserve">here relevant, telephone </w:t>
      </w:r>
      <w:r w:rsidR="000451CC" w:rsidRPr="00A4042F">
        <w:rPr>
          <w:b w:val="0"/>
        </w:rPr>
        <w:t>number</w:t>
      </w:r>
    </w:p>
    <w:p w:rsidR="007C67E5" w:rsidRPr="00A4042F" w:rsidRDefault="007C67E5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>
        <w:rPr>
          <w:b w:val="0"/>
        </w:rPr>
        <w:t>the students name</w:t>
      </w:r>
    </w:p>
    <w:p w:rsidR="000451CC" w:rsidRPr="00A4042F" w:rsidRDefault="000451CC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>the decision being appealed</w:t>
      </w:r>
    </w:p>
    <w:p w:rsidR="000451CC" w:rsidRPr="00A4042F" w:rsidRDefault="009151BF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>the grounds on which</w:t>
      </w:r>
      <w:r w:rsidR="000451CC" w:rsidRPr="00A4042F">
        <w:rPr>
          <w:b w:val="0"/>
        </w:rPr>
        <w:t xml:space="preserve"> the decision is being appealed</w:t>
      </w:r>
      <w:r w:rsidR="00D53666">
        <w:rPr>
          <w:rStyle w:val="FootnoteReference"/>
          <w:b w:val="0"/>
        </w:rPr>
        <w:footnoteReference w:id="1"/>
      </w:r>
    </w:p>
    <w:p w:rsidR="000451CC" w:rsidRPr="00A4042F" w:rsidRDefault="009151BF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the full name and </w:t>
      </w:r>
      <w:r w:rsidR="000451CC" w:rsidRPr="00A4042F">
        <w:rPr>
          <w:b w:val="0"/>
        </w:rPr>
        <w:t>address of the school concerned</w:t>
      </w:r>
    </w:p>
    <w:p w:rsidR="000451CC" w:rsidRPr="00A4042F" w:rsidRDefault="009151BF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>the date that the parent or stude</w:t>
      </w:r>
      <w:r w:rsidR="000451CC" w:rsidRPr="00A4042F">
        <w:rPr>
          <w:b w:val="0"/>
        </w:rPr>
        <w:t>nt was informed of the decision</w:t>
      </w:r>
    </w:p>
    <w:p w:rsidR="0006557C" w:rsidRPr="00A4042F" w:rsidRDefault="009151BF" w:rsidP="00A4042F">
      <w:pPr>
        <w:pStyle w:val="ListParagraph"/>
        <w:numPr>
          <w:ilvl w:val="2"/>
          <w:numId w:val="22"/>
        </w:numPr>
        <w:ind w:right="0"/>
        <w:jc w:val="left"/>
        <w:rPr>
          <w:b w:val="0"/>
        </w:rPr>
      </w:pPr>
      <w:r w:rsidRPr="00A4042F">
        <w:rPr>
          <w:b w:val="0"/>
        </w:rPr>
        <w:t>the outcome of any relevant appea</w:t>
      </w:r>
      <w:r w:rsidR="000451CC" w:rsidRPr="00A4042F">
        <w:rPr>
          <w:b w:val="0"/>
        </w:rPr>
        <w:t>l proceedings at school level</w:t>
      </w:r>
    </w:p>
    <w:p w:rsidR="000451CC" w:rsidRPr="00A4042F" w:rsidRDefault="000451CC" w:rsidP="00A4042F">
      <w:pPr>
        <w:ind w:left="1980" w:right="0" w:firstLine="0"/>
        <w:jc w:val="left"/>
        <w:rPr>
          <w:b w:val="0"/>
        </w:rPr>
      </w:pPr>
    </w:p>
    <w:p w:rsidR="000451CC" w:rsidRPr="00A4042F" w:rsidRDefault="000451CC" w:rsidP="00A237DF">
      <w:pPr>
        <w:ind w:left="360" w:right="0" w:firstLine="0"/>
        <w:jc w:val="left"/>
        <w:rPr>
          <w:b w:val="0"/>
        </w:rPr>
      </w:pPr>
    </w:p>
    <w:p w:rsidR="0006557C" w:rsidRPr="00A4042F" w:rsidRDefault="00D1556A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>C</w:t>
      </w:r>
      <w:r w:rsidR="009151BF" w:rsidRPr="00A4042F">
        <w:rPr>
          <w:b w:val="0"/>
        </w:rPr>
        <w:t xml:space="preserve">larification </w:t>
      </w:r>
      <w:r w:rsidRPr="00A4042F">
        <w:rPr>
          <w:b w:val="0"/>
        </w:rPr>
        <w:t>may be</w:t>
      </w:r>
      <w:r w:rsidR="009151BF" w:rsidRPr="00A4042F">
        <w:rPr>
          <w:b w:val="0"/>
        </w:rPr>
        <w:t xml:space="preserve"> required before determining whether to admit an appeal, such clarification will be sought immediately. </w:t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06557C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An appeal may only be considered where it meets the conditions </w:t>
      </w:r>
      <w:r w:rsidR="00D1556A" w:rsidRPr="00A4042F">
        <w:rPr>
          <w:b w:val="0"/>
        </w:rPr>
        <w:t xml:space="preserve">as set down in points </w:t>
      </w:r>
      <w:r w:rsidR="00245B8F">
        <w:rPr>
          <w:b w:val="0"/>
        </w:rPr>
        <w:t>3</w:t>
      </w:r>
      <w:r w:rsidR="006574F1">
        <w:rPr>
          <w:b w:val="0"/>
        </w:rPr>
        <w:t xml:space="preserve"> and 4</w:t>
      </w:r>
      <w:r w:rsidR="00245B8F">
        <w:rPr>
          <w:b w:val="0"/>
        </w:rPr>
        <w:t xml:space="preserve"> </w:t>
      </w:r>
      <w:r w:rsidRPr="00A4042F">
        <w:rPr>
          <w:b w:val="0"/>
        </w:rPr>
        <w:t xml:space="preserve">and when all of the requisite information, as outlined in </w:t>
      </w:r>
      <w:r w:rsidR="00D1556A" w:rsidRPr="00A4042F">
        <w:rPr>
          <w:b w:val="0"/>
        </w:rPr>
        <w:t>point</w:t>
      </w:r>
      <w:r w:rsidR="00245B8F">
        <w:rPr>
          <w:b w:val="0"/>
        </w:rPr>
        <w:t xml:space="preserve"> </w:t>
      </w:r>
      <w:r w:rsidR="006574F1">
        <w:rPr>
          <w:b w:val="0"/>
        </w:rPr>
        <w:t>5</w:t>
      </w:r>
      <w:r w:rsidR="00245B8F">
        <w:rPr>
          <w:b w:val="0"/>
        </w:rPr>
        <w:t xml:space="preserve"> above</w:t>
      </w:r>
      <w:r w:rsidR="00FF0FCC">
        <w:rPr>
          <w:b w:val="0"/>
        </w:rPr>
        <w:t>, has been received.</w:t>
      </w:r>
    </w:p>
    <w:p w:rsidR="00D1556A" w:rsidRPr="00A4042F" w:rsidRDefault="00D1556A" w:rsidP="00A237DF">
      <w:pPr>
        <w:ind w:left="360" w:right="0" w:firstLine="0"/>
        <w:jc w:val="left"/>
        <w:rPr>
          <w:b w:val="0"/>
        </w:rPr>
      </w:pPr>
    </w:p>
    <w:p w:rsidR="00D1556A" w:rsidRPr="00A4042F" w:rsidRDefault="00D1556A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A maximum </w:t>
      </w:r>
      <w:r w:rsidRPr="00A4042F">
        <w:rPr>
          <w:b w:val="0"/>
          <w:u w:val="single"/>
        </w:rPr>
        <w:t>period of 30 days from date of receipt of the appeal</w:t>
      </w:r>
      <w:r w:rsidRPr="00A4042F">
        <w:rPr>
          <w:b w:val="0"/>
        </w:rPr>
        <w:t xml:space="preserve"> by the ETB is allowable in the ETB sector for conclusion of the appeal process.</w:t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D1556A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Once the completed Section 29 Appeals Application Form containing all required information has been received, a letter of acknowledgement will issue to the appellant forthwith. The letter may also ask the appellant to submit any additional documentation relevant to the appeal without delay. </w:t>
      </w:r>
    </w:p>
    <w:p w:rsidR="00D1556A" w:rsidRPr="00A4042F" w:rsidRDefault="00D1556A" w:rsidP="00A237DF">
      <w:pPr>
        <w:ind w:left="360" w:right="0" w:firstLine="0"/>
        <w:jc w:val="left"/>
        <w:rPr>
          <w:b w:val="0"/>
        </w:rPr>
      </w:pPr>
    </w:p>
    <w:p w:rsidR="0006557C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 xml:space="preserve">A letter will also issue simultaneously to the </w:t>
      </w:r>
      <w:r w:rsidR="00A237DF" w:rsidRPr="00A4042F">
        <w:rPr>
          <w:b w:val="0"/>
        </w:rPr>
        <w:t xml:space="preserve">school </w:t>
      </w:r>
      <w:r w:rsidR="007C67E5">
        <w:rPr>
          <w:b w:val="0"/>
        </w:rPr>
        <w:t>Principal</w:t>
      </w:r>
      <w:r w:rsidR="00A237DF" w:rsidRPr="00A4042F">
        <w:rPr>
          <w:b w:val="0"/>
        </w:rPr>
        <w:t xml:space="preserve"> </w:t>
      </w:r>
      <w:r w:rsidRPr="00A4042F">
        <w:rPr>
          <w:b w:val="0"/>
        </w:rPr>
        <w:t xml:space="preserve">informing it of the appeal and the grounds on which it has been lodged, and the </w:t>
      </w:r>
      <w:r w:rsidR="00A237DF" w:rsidRPr="00A4042F">
        <w:rPr>
          <w:b w:val="0"/>
        </w:rPr>
        <w:t>school</w:t>
      </w:r>
      <w:r w:rsidRPr="00A4042F">
        <w:rPr>
          <w:b w:val="0"/>
        </w:rPr>
        <w:t xml:space="preserve"> will be asked to submit as soon as possible any information or documentation which it considers may be relevant to the appeal to the </w:t>
      </w:r>
      <w:r w:rsidR="00A237DF" w:rsidRPr="00A4042F">
        <w:rPr>
          <w:b w:val="0"/>
        </w:rPr>
        <w:t>ETB.</w:t>
      </w:r>
      <w:r w:rsidR="006574F1">
        <w:rPr>
          <w:rStyle w:val="FootnoteReference"/>
          <w:b w:val="0"/>
        </w:rPr>
        <w:footnoteReference w:id="2"/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06557C" w:rsidRDefault="009151BF" w:rsidP="00A237DF">
      <w:pPr>
        <w:pStyle w:val="ListParagraph"/>
        <w:numPr>
          <w:ilvl w:val="0"/>
          <w:numId w:val="19"/>
        </w:numPr>
        <w:spacing w:after="0" w:line="259" w:lineRule="auto"/>
        <w:ind w:left="60" w:right="0" w:firstLine="0"/>
        <w:jc w:val="left"/>
        <w:rPr>
          <w:b w:val="0"/>
        </w:rPr>
      </w:pPr>
      <w:r w:rsidRPr="00FF0FCC">
        <w:rPr>
          <w:b w:val="0"/>
        </w:rPr>
        <w:t>All information and documentation provid</w:t>
      </w:r>
      <w:r w:rsidR="00245B8F" w:rsidRPr="00FF0FCC">
        <w:rPr>
          <w:b w:val="0"/>
        </w:rPr>
        <w:t xml:space="preserve">ed by the appellant and by the Board of </w:t>
      </w:r>
      <w:r w:rsidR="005E1DDF">
        <w:rPr>
          <w:b w:val="0"/>
        </w:rPr>
        <w:tab/>
      </w:r>
      <w:r w:rsidR="00245B8F" w:rsidRPr="00FF0FCC">
        <w:rPr>
          <w:b w:val="0"/>
        </w:rPr>
        <w:t>M</w:t>
      </w:r>
      <w:r w:rsidRPr="00FF0FCC">
        <w:rPr>
          <w:b w:val="0"/>
        </w:rPr>
        <w:t xml:space="preserve">anagement to assist the appeal will be treated in strict confidence and, save as </w:t>
      </w:r>
      <w:r w:rsidR="005E1DDF">
        <w:rPr>
          <w:b w:val="0"/>
        </w:rPr>
        <w:tab/>
      </w:r>
      <w:r w:rsidRPr="00FF0FCC">
        <w:rPr>
          <w:b w:val="0"/>
        </w:rPr>
        <w:t xml:space="preserve">otherwise provided by law, the Section 29 Appeals Administration Unit will not disclose </w:t>
      </w:r>
      <w:r w:rsidR="005E1DDF">
        <w:rPr>
          <w:b w:val="0"/>
        </w:rPr>
        <w:tab/>
      </w:r>
      <w:r w:rsidRPr="00FF0FCC">
        <w:rPr>
          <w:b w:val="0"/>
        </w:rPr>
        <w:t xml:space="preserve">such information or documentation to a person who is not party to the appeal without the </w:t>
      </w:r>
      <w:r w:rsidR="005E1DDF">
        <w:rPr>
          <w:b w:val="0"/>
        </w:rPr>
        <w:tab/>
      </w:r>
      <w:r w:rsidRPr="00FF0FCC">
        <w:rPr>
          <w:b w:val="0"/>
        </w:rPr>
        <w:t xml:space="preserve">consent of the appellant or </w:t>
      </w:r>
      <w:r w:rsidR="00FF0FCC" w:rsidRPr="00FF0FCC">
        <w:rPr>
          <w:b w:val="0"/>
        </w:rPr>
        <w:t>B</w:t>
      </w:r>
      <w:r w:rsidRPr="00FF0FCC">
        <w:rPr>
          <w:b w:val="0"/>
        </w:rPr>
        <w:t xml:space="preserve">oard of </w:t>
      </w:r>
      <w:r w:rsidR="00FF0FCC" w:rsidRPr="00FF0FCC">
        <w:rPr>
          <w:b w:val="0"/>
        </w:rPr>
        <w:t>M</w:t>
      </w:r>
      <w:r w:rsidR="00A237DF" w:rsidRPr="00FF0FCC">
        <w:rPr>
          <w:b w:val="0"/>
        </w:rPr>
        <w:t xml:space="preserve">anagement as the case may be. </w:t>
      </w:r>
    </w:p>
    <w:p w:rsidR="00FF0FCC" w:rsidRPr="00FF0FCC" w:rsidRDefault="00FF0FCC" w:rsidP="00FF0FCC">
      <w:pPr>
        <w:pStyle w:val="ListParagraph"/>
        <w:rPr>
          <w:b w:val="0"/>
        </w:rPr>
      </w:pPr>
    </w:p>
    <w:p w:rsidR="00FF0FCC" w:rsidRPr="00FF0FCC" w:rsidRDefault="00FF0FCC" w:rsidP="00FF0FCC">
      <w:pPr>
        <w:spacing w:after="0" w:line="259" w:lineRule="auto"/>
        <w:ind w:right="0"/>
        <w:jc w:val="left"/>
        <w:rPr>
          <w:b w:val="0"/>
        </w:rPr>
      </w:pPr>
    </w:p>
    <w:p w:rsidR="0006557C" w:rsidRPr="00A4042F" w:rsidRDefault="009151BF" w:rsidP="00A4042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>Where an appe</w:t>
      </w:r>
      <w:r w:rsidR="00A237DF" w:rsidRPr="00A4042F">
        <w:rPr>
          <w:b w:val="0"/>
        </w:rPr>
        <w:t xml:space="preserve">al is deemed by the CEO to be inadmissible </w:t>
      </w:r>
      <w:r w:rsidRPr="00A4042F">
        <w:rPr>
          <w:b w:val="0"/>
        </w:rPr>
        <w:t>under these procedures, a letter to that effect will issue to the appellant forthwith, and copied to the school, stating clearly the grounds on which the</w:t>
      </w:r>
      <w:r w:rsidR="00A237DF" w:rsidRPr="00A4042F">
        <w:rPr>
          <w:b w:val="0"/>
        </w:rPr>
        <w:t xml:space="preserve"> appeal is not being admitted.</w:t>
      </w:r>
    </w:p>
    <w:p w:rsidR="0006557C" w:rsidRPr="00A4042F" w:rsidRDefault="0006557C" w:rsidP="00A237DF">
      <w:pPr>
        <w:spacing w:after="0" w:line="259" w:lineRule="auto"/>
        <w:ind w:left="60" w:right="0" w:firstLine="0"/>
        <w:jc w:val="left"/>
        <w:rPr>
          <w:b w:val="0"/>
        </w:rPr>
      </w:pPr>
    </w:p>
    <w:p w:rsidR="00A237DF" w:rsidRDefault="009151BF" w:rsidP="00245B8F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A4042F">
        <w:rPr>
          <w:b w:val="0"/>
        </w:rPr>
        <w:t>An appeal may be withdrawn at any time by the appellant by notifying the Section 29 Appeals Admi</w:t>
      </w:r>
      <w:r w:rsidR="00EE5870" w:rsidRPr="00A4042F">
        <w:rPr>
          <w:b w:val="0"/>
        </w:rPr>
        <w:t>nistration Unit to that effect.</w:t>
      </w:r>
    </w:p>
    <w:p w:rsidR="00FF0FCC" w:rsidRPr="00FF0FCC" w:rsidRDefault="00FF0FCC" w:rsidP="00FF0FCC">
      <w:pPr>
        <w:pStyle w:val="ListParagraph"/>
        <w:rPr>
          <w:b w:val="0"/>
        </w:rPr>
      </w:pPr>
    </w:p>
    <w:p w:rsidR="00FF0FCC" w:rsidRPr="00FF0FCC" w:rsidRDefault="00FF0FCC" w:rsidP="00A073A0">
      <w:pPr>
        <w:pStyle w:val="ListParagraph"/>
        <w:numPr>
          <w:ilvl w:val="0"/>
          <w:numId w:val="19"/>
        </w:numPr>
        <w:ind w:right="0"/>
        <w:jc w:val="left"/>
        <w:rPr>
          <w:b w:val="0"/>
        </w:rPr>
      </w:pPr>
      <w:r w:rsidRPr="00FF0FCC">
        <w:rPr>
          <w:b w:val="0"/>
        </w:rPr>
        <w:t>A further appeal can be made to the Secretary General of the Department of Education and Skill</w:t>
      </w:r>
      <w:r>
        <w:rPr>
          <w:b w:val="0"/>
        </w:rPr>
        <w:t>s</w:t>
      </w:r>
      <w:r w:rsidRPr="00FF0FCC">
        <w:rPr>
          <w:b w:val="0"/>
        </w:rPr>
        <w:t>,</w:t>
      </w:r>
      <w:r>
        <w:rPr>
          <w:b w:val="0"/>
        </w:rPr>
        <w:t xml:space="preserve"> to be advised as appropriate on conclusion of the ETB process. </w:t>
      </w:r>
      <w:r w:rsidRPr="00FF0FCC">
        <w:rPr>
          <w:b w:val="0"/>
        </w:rPr>
        <w:t xml:space="preserve"> </w:t>
      </w:r>
    </w:p>
    <w:sectPr w:rsidR="00FF0FCC" w:rsidRPr="00FF0FCC" w:rsidSect="00245B8F">
      <w:headerReference w:type="default" r:id="rId9"/>
      <w:pgSz w:w="12240" w:h="15840"/>
      <w:pgMar w:top="58" w:right="1435" w:bottom="1389" w:left="144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0D" w:rsidRDefault="0047190D" w:rsidP="00EE5870">
      <w:pPr>
        <w:spacing w:after="0" w:line="240" w:lineRule="auto"/>
      </w:pPr>
      <w:r>
        <w:separator/>
      </w:r>
    </w:p>
  </w:endnote>
  <w:endnote w:type="continuationSeparator" w:id="0">
    <w:p w:rsidR="0047190D" w:rsidRDefault="0047190D" w:rsidP="00EE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0D" w:rsidRDefault="0047190D" w:rsidP="00EE5870">
      <w:pPr>
        <w:spacing w:after="0" w:line="240" w:lineRule="auto"/>
      </w:pPr>
      <w:r>
        <w:separator/>
      </w:r>
    </w:p>
  </w:footnote>
  <w:footnote w:type="continuationSeparator" w:id="0">
    <w:p w:rsidR="0047190D" w:rsidRDefault="0047190D" w:rsidP="00EE5870">
      <w:pPr>
        <w:spacing w:after="0" w:line="240" w:lineRule="auto"/>
      </w:pPr>
      <w:r>
        <w:continuationSeparator/>
      </w:r>
    </w:p>
  </w:footnote>
  <w:footnote w:id="1">
    <w:p w:rsidR="005E1DDF" w:rsidRDefault="00D53666" w:rsidP="005E1DDF">
      <w:pPr>
        <w:pStyle w:val="FootnoteText"/>
        <w:jc w:val="left"/>
        <w:rPr>
          <w:lang w:val="en-IE"/>
        </w:rPr>
      </w:pPr>
      <w:bookmarkStart w:id="0" w:name="_GoBack"/>
      <w:r>
        <w:rPr>
          <w:rStyle w:val="FootnoteReference"/>
        </w:rPr>
        <w:footnoteRef/>
      </w:r>
      <w:r>
        <w:rPr>
          <w:lang w:val="en-IE"/>
        </w:rPr>
        <w:t>Grounds generally include breaches of fair and reasonable procedu</w:t>
      </w:r>
      <w:r w:rsidR="005E1DDF">
        <w:rPr>
          <w:lang w:val="en-IE"/>
        </w:rPr>
        <w:t>res and/or failure to correctly</w:t>
      </w:r>
    </w:p>
    <w:p w:rsidR="005E1DDF" w:rsidRDefault="00D53666" w:rsidP="005E1DDF">
      <w:pPr>
        <w:pStyle w:val="FootnoteText"/>
        <w:jc w:val="left"/>
        <w:rPr>
          <w:lang w:val="en-IE"/>
        </w:rPr>
      </w:pPr>
      <w:r>
        <w:rPr>
          <w:lang w:val="en-IE"/>
        </w:rPr>
        <w:t>apply policies. Compassionate grounds alone are not sufficient bas</w:t>
      </w:r>
      <w:r w:rsidR="006574F1">
        <w:rPr>
          <w:lang w:val="en-IE"/>
        </w:rPr>
        <w:t>i</w:t>
      </w:r>
      <w:r w:rsidR="005E1DDF">
        <w:rPr>
          <w:lang w:val="en-IE"/>
        </w:rPr>
        <w:t>s for an appeal under these</w:t>
      </w:r>
    </w:p>
    <w:p w:rsidR="00D53666" w:rsidRPr="00D53666" w:rsidRDefault="00D53666" w:rsidP="005E1DDF">
      <w:pPr>
        <w:pStyle w:val="FootnoteText"/>
        <w:jc w:val="left"/>
        <w:rPr>
          <w:lang w:val="en-IE"/>
        </w:rPr>
      </w:pPr>
      <w:r>
        <w:rPr>
          <w:lang w:val="en-IE"/>
        </w:rPr>
        <w:t>procedures.</w:t>
      </w:r>
      <w:bookmarkEnd w:id="0"/>
    </w:p>
  </w:footnote>
  <w:footnote w:id="2">
    <w:p w:rsidR="005E1DDF" w:rsidRDefault="006574F1" w:rsidP="005E1DDF">
      <w:pPr>
        <w:pStyle w:val="FootnoteText"/>
        <w:jc w:val="lef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All documentation must be submitted in advance of the a</w:t>
      </w:r>
      <w:r w:rsidR="005E1DDF">
        <w:rPr>
          <w:lang w:val="en-IE"/>
        </w:rPr>
        <w:t>ppeal. New documentation can be</w:t>
      </w:r>
    </w:p>
    <w:p w:rsidR="005E1DDF" w:rsidRDefault="006574F1" w:rsidP="005E1DDF">
      <w:pPr>
        <w:pStyle w:val="FootnoteText"/>
        <w:jc w:val="left"/>
        <w:rPr>
          <w:lang w:val="en-IE"/>
        </w:rPr>
      </w:pPr>
      <w:r>
        <w:rPr>
          <w:lang w:val="en-IE"/>
        </w:rPr>
        <w:t>considered at the discretion of the appeal board and only in agre</w:t>
      </w:r>
      <w:r w:rsidR="005E1DDF">
        <w:rPr>
          <w:lang w:val="en-IE"/>
        </w:rPr>
        <w:t>ement by all parties. In</w:t>
      </w:r>
    </w:p>
    <w:p w:rsidR="005E1DDF" w:rsidRDefault="006574F1" w:rsidP="005E1DDF">
      <w:pPr>
        <w:pStyle w:val="FootnoteText"/>
        <w:jc w:val="left"/>
        <w:rPr>
          <w:lang w:val="en-IE"/>
        </w:rPr>
      </w:pPr>
      <w:r>
        <w:rPr>
          <w:lang w:val="en-IE"/>
        </w:rPr>
        <w:t>submitting documentation named references to students oth</w:t>
      </w:r>
      <w:r w:rsidR="005E1DDF">
        <w:rPr>
          <w:lang w:val="en-IE"/>
        </w:rPr>
        <w:t>er than the appellant should be</w:t>
      </w:r>
    </w:p>
    <w:p w:rsidR="006574F1" w:rsidRPr="006574F1" w:rsidRDefault="006574F1" w:rsidP="005E1DDF">
      <w:pPr>
        <w:pStyle w:val="FootnoteText"/>
        <w:jc w:val="left"/>
        <w:rPr>
          <w:lang w:val="en-IE"/>
        </w:rPr>
      </w:pPr>
      <w:r>
        <w:rPr>
          <w:lang w:val="en-IE"/>
        </w:rPr>
        <w:t>removed.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DF" w:rsidRDefault="005E1DDF" w:rsidP="005E1DDF">
    <w:pPr>
      <w:ind w:left="360" w:right="0" w:firstLine="0"/>
      <w:jc w:val="center"/>
      <w:rPr>
        <w:sz w:val="28"/>
        <w:szCs w:val="28"/>
      </w:rPr>
    </w:pPr>
    <w:r>
      <w:rPr>
        <w:noProof/>
        <w:color w:val="0070C0"/>
        <w:lang w:val="en-IE" w:eastAsia="en-IE"/>
      </w:rPr>
      <w:drawing>
        <wp:inline distT="0" distB="0" distL="0" distR="0" wp14:anchorId="247ADCA2" wp14:editId="186EE941">
          <wp:extent cx="2514600" cy="1186266"/>
          <wp:effectExtent l="0" t="0" r="0" b="0"/>
          <wp:docPr id="1" name="Picture 1" descr="DDLETB Logo Final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LETB Logo Final Appr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8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DDF" w:rsidRDefault="005E1DDF" w:rsidP="005E1DDF">
    <w:pPr>
      <w:ind w:left="360" w:right="0" w:firstLine="0"/>
      <w:jc w:val="center"/>
      <w:rPr>
        <w:sz w:val="28"/>
        <w:szCs w:val="28"/>
      </w:rPr>
    </w:pPr>
    <w:r w:rsidRPr="005E1DDF">
      <w:rPr>
        <w:sz w:val="28"/>
        <w:szCs w:val="28"/>
      </w:rPr>
      <w:t xml:space="preserve">Procedures for Lodging an Appeal under </w:t>
    </w:r>
  </w:p>
  <w:p w:rsidR="00A4042F" w:rsidRPr="005E1DDF" w:rsidRDefault="005E1DDF" w:rsidP="005E1DDF">
    <w:pPr>
      <w:ind w:left="360" w:right="0" w:firstLine="0"/>
      <w:jc w:val="center"/>
      <w:rPr>
        <w:sz w:val="28"/>
        <w:szCs w:val="28"/>
      </w:rPr>
    </w:pPr>
    <w:r w:rsidRPr="005E1DDF">
      <w:rPr>
        <w:sz w:val="28"/>
        <w:szCs w:val="28"/>
      </w:rPr>
      <w:t>Section 29 of the Education 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64"/>
    <w:multiLevelType w:val="hybridMultilevel"/>
    <w:tmpl w:val="0DDAE1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A69"/>
    <w:multiLevelType w:val="hybridMultilevel"/>
    <w:tmpl w:val="BDE47488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41B"/>
    <w:multiLevelType w:val="hybridMultilevel"/>
    <w:tmpl w:val="750CC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C4C"/>
    <w:multiLevelType w:val="hybridMultilevel"/>
    <w:tmpl w:val="A4805FFE"/>
    <w:lvl w:ilvl="0" w:tplc="F17602E2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D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E1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C3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6FA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A1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2E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66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0DB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490431"/>
    <w:multiLevelType w:val="hybridMultilevel"/>
    <w:tmpl w:val="06D22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146C"/>
    <w:multiLevelType w:val="hybridMultilevel"/>
    <w:tmpl w:val="5784CE9A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D3361"/>
    <w:multiLevelType w:val="hybridMultilevel"/>
    <w:tmpl w:val="A25AE13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50D4"/>
    <w:multiLevelType w:val="hybridMultilevel"/>
    <w:tmpl w:val="3174B490"/>
    <w:lvl w:ilvl="0" w:tplc="F17602E2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91D0C"/>
    <w:multiLevelType w:val="hybridMultilevel"/>
    <w:tmpl w:val="369A1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392D"/>
    <w:multiLevelType w:val="hybridMultilevel"/>
    <w:tmpl w:val="80467036"/>
    <w:lvl w:ilvl="0" w:tplc="55E6B1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6E72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E8F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E3E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80C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AFB4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29EE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81D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88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D63CC9"/>
    <w:multiLevelType w:val="hybridMultilevel"/>
    <w:tmpl w:val="74D22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A7AA0"/>
    <w:multiLevelType w:val="hybridMultilevel"/>
    <w:tmpl w:val="4DB690B8"/>
    <w:lvl w:ilvl="0" w:tplc="4E2683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8B04E">
      <w:start w:val="1"/>
      <w:numFmt w:val="lowerLetter"/>
      <w:lvlText w:val="%2"/>
      <w:lvlJc w:val="left"/>
      <w:pPr>
        <w:ind w:left="1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8B66C">
      <w:start w:val="1"/>
      <w:numFmt w:val="lowerLetter"/>
      <w:lvlRestart w:val="0"/>
      <w:lvlText w:val="%3)"/>
      <w:lvlJc w:val="left"/>
      <w:pPr>
        <w:ind w:left="2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6593E">
      <w:start w:val="1"/>
      <w:numFmt w:val="decimal"/>
      <w:lvlText w:val="%4"/>
      <w:lvlJc w:val="left"/>
      <w:pPr>
        <w:ind w:left="2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C1A0">
      <w:start w:val="1"/>
      <w:numFmt w:val="lowerLetter"/>
      <w:lvlText w:val="%5"/>
      <w:lvlJc w:val="left"/>
      <w:pPr>
        <w:ind w:left="3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CDBF6">
      <w:start w:val="1"/>
      <w:numFmt w:val="lowerRoman"/>
      <w:lvlText w:val="%6"/>
      <w:lvlJc w:val="left"/>
      <w:pPr>
        <w:ind w:left="3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2EB1C">
      <w:start w:val="1"/>
      <w:numFmt w:val="decimal"/>
      <w:lvlText w:val="%7"/>
      <w:lvlJc w:val="left"/>
      <w:pPr>
        <w:ind w:left="4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0AC70">
      <w:start w:val="1"/>
      <w:numFmt w:val="lowerLetter"/>
      <w:lvlText w:val="%8"/>
      <w:lvlJc w:val="left"/>
      <w:pPr>
        <w:ind w:left="5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0ED6E">
      <w:start w:val="1"/>
      <w:numFmt w:val="lowerRoman"/>
      <w:lvlText w:val="%9"/>
      <w:lvlJc w:val="left"/>
      <w:pPr>
        <w:ind w:left="6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C74C61"/>
    <w:multiLevelType w:val="hybridMultilevel"/>
    <w:tmpl w:val="CEE229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5CCD"/>
    <w:multiLevelType w:val="hybridMultilevel"/>
    <w:tmpl w:val="D4E047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3AFE"/>
    <w:multiLevelType w:val="hybridMultilevel"/>
    <w:tmpl w:val="B0427A56"/>
    <w:lvl w:ilvl="0" w:tplc="A94C731E">
      <w:start w:val="2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BB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0F2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E03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AF3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6F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295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045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09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2203F8"/>
    <w:multiLevelType w:val="hybridMultilevel"/>
    <w:tmpl w:val="D90E6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3653"/>
    <w:multiLevelType w:val="hybridMultilevel"/>
    <w:tmpl w:val="0F9ACA46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7">
      <w:start w:val="1"/>
      <w:numFmt w:val="lowerLetter"/>
      <w:lvlText w:val="%2)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EE05C7"/>
    <w:multiLevelType w:val="hybridMultilevel"/>
    <w:tmpl w:val="A184B8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12675"/>
    <w:multiLevelType w:val="hybridMultilevel"/>
    <w:tmpl w:val="2676C0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0319"/>
    <w:multiLevelType w:val="hybridMultilevel"/>
    <w:tmpl w:val="29C6EED4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827A0C"/>
    <w:multiLevelType w:val="hybridMultilevel"/>
    <w:tmpl w:val="02BC548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A2D0C"/>
    <w:multiLevelType w:val="hybridMultilevel"/>
    <w:tmpl w:val="AD16C8CA"/>
    <w:lvl w:ilvl="0" w:tplc="7C24F734">
      <w:start w:val="3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2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0D1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4B8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4A1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4FC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C0F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410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C0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672595"/>
    <w:multiLevelType w:val="hybridMultilevel"/>
    <w:tmpl w:val="154A0108"/>
    <w:lvl w:ilvl="0" w:tplc="E3DE4554">
      <w:start w:val="17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E2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69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CC8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66C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8C2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C3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22C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2C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1"/>
  </w:num>
  <w:num w:numId="7">
    <w:abstractNumId w:val="7"/>
  </w:num>
  <w:num w:numId="8">
    <w:abstractNumId w:val="19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20"/>
  </w:num>
  <w:num w:numId="19">
    <w:abstractNumId w:val="1"/>
  </w:num>
  <w:num w:numId="20">
    <w:abstractNumId w:val="4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33855"/>
    <w:rsid w:val="000451CC"/>
    <w:rsid w:val="0006557C"/>
    <w:rsid w:val="000B3643"/>
    <w:rsid w:val="000C608F"/>
    <w:rsid w:val="001F15BE"/>
    <w:rsid w:val="00245B8F"/>
    <w:rsid w:val="002474B4"/>
    <w:rsid w:val="002F7B0F"/>
    <w:rsid w:val="00303A66"/>
    <w:rsid w:val="00392A61"/>
    <w:rsid w:val="0047190D"/>
    <w:rsid w:val="004D63F9"/>
    <w:rsid w:val="005316ED"/>
    <w:rsid w:val="005E1DDF"/>
    <w:rsid w:val="00651FEB"/>
    <w:rsid w:val="006574F1"/>
    <w:rsid w:val="006A4756"/>
    <w:rsid w:val="006C2CBB"/>
    <w:rsid w:val="006C3A85"/>
    <w:rsid w:val="006E791E"/>
    <w:rsid w:val="007C67E5"/>
    <w:rsid w:val="00891C0A"/>
    <w:rsid w:val="009151BF"/>
    <w:rsid w:val="00972449"/>
    <w:rsid w:val="009727C9"/>
    <w:rsid w:val="00A237DF"/>
    <w:rsid w:val="00A4042F"/>
    <w:rsid w:val="00A828E2"/>
    <w:rsid w:val="00B779D5"/>
    <w:rsid w:val="00B96F82"/>
    <w:rsid w:val="00BB6959"/>
    <w:rsid w:val="00CD2C0F"/>
    <w:rsid w:val="00CE6777"/>
    <w:rsid w:val="00D1556A"/>
    <w:rsid w:val="00D369FB"/>
    <w:rsid w:val="00D53666"/>
    <w:rsid w:val="00D931C4"/>
    <w:rsid w:val="00E166C3"/>
    <w:rsid w:val="00E25514"/>
    <w:rsid w:val="00EE5870"/>
    <w:rsid w:val="00FD5FB1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70" w:right="3" w:hanging="370"/>
      <w:jc w:val="both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70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70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972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F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7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666"/>
    <w:rPr>
      <w:rFonts w:ascii="Arial" w:eastAsia="Arial" w:hAnsi="Arial" w:cs="Arial"/>
      <w:b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70" w:right="3" w:hanging="370"/>
      <w:jc w:val="both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70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70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972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F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7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666"/>
    <w:rPr>
      <w:rFonts w:ascii="Arial" w:eastAsia="Arial" w:hAnsi="Arial" w:cs="Arial"/>
      <w:b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9BA-637C-4674-BE96-D510C847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Howlett (IT Dept)</dc:creator>
  <cp:lastModifiedBy>Niamh Woods (Grants)</cp:lastModifiedBy>
  <cp:revision>3</cp:revision>
  <cp:lastPrinted>2014-12-01T08:58:00Z</cp:lastPrinted>
  <dcterms:created xsi:type="dcterms:W3CDTF">2015-01-14T15:00:00Z</dcterms:created>
  <dcterms:modified xsi:type="dcterms:W3CDTF">2015-01-14T15:35:00Z</dcterms:modified>
</cp:coreProperties>
</file>